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Urteil vom 06.03.2002 – 2 StR 491/01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2 StR 491/01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6. März 2002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Handeltreibens mit Betäubungsmitteln in nicht geringer Menge</w:t>
      </w:r>
    </w:p>
    <w:p>
      <w:r>
        <w:t xml:space="preserve">Der 2. Strafsenat des Bundesgerichtshofs hat in der Sitzung vom 6. März 2002,</w:t>
      </w:r>
    </w:p>
    <w:p>
      <w:r>
        <w:t xml:space="preserve">an der teilgenommen haben:</w:t>
      </w:r>
    </w:p>
    <w:p>
      <w:r>
        <w:t xml:space="preserve">Vizepräsident des Bundesgerichtshofes</w:t>
      </w:r>
    </w:p>
    <w:p>
      <w:r>
        <w:t xml:space="preserve">Dr. Jähnke</w:t>
      </w:r>
    </w:p>
    <w:p>
      <w:r>
        <w:t xml:space="preserve">als Vorsitzender,</w:t>
      </w:r>
    </w:p>
    <w:p>
      <w:r>
        <w:t xml:space="preserve">Richterin am Bundesgerichtshof</w:t>
      </w:r>
    </w:p>
    <w:p>
      <w:r>
        <w:t xml:space="preserve">Dr. Otten,</w:t>
      </w:r>
    </w:p>
    <w:p>
      <w:r>
        <w:t xml:space="preserve">die Richter am Bundesgerichtshof</w:t>
      </w:r>
    </w:p>
    <w:p>
      <w:r>
        <w:t xml:space="preserve">Rothfuß,</w:t>
      </w:r>
    </w:p>
    <w:p>
      <w:r>
        <w:t xml:space="preserve">Prof. Dr. Fischer,</w:t>
      </w:r>
    </w:p>
    <w:p>
      <w:r>
        <w:t xml:space="preserve">Richterin am Bundesgerichtshof</w:t>
      </w:r>
    </w:p>
    <w:p>
      <w:r>
        <w:t xml:space="preserve">Elf</w:t>
      </w:r>
    </w:p>
    <w:p>
      <w:r>
        <w:t xml:space="preserve">als beisitzende Richter,</w:t>
      </w:r>
    </w:p>
    <w:p>
      <w:r>
        <w:t xml:space="preserve">Staatsanwalt</w:t>
      </w:r>
    </w:p>
    <w:p>
      <w:r>
        <w:t xml:space="preserve">als Vertreter der Bundesanwaltschaft,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1. Auf die Revision der Angeklagten wird das Urteil des Landge-</w:t>
      </w:r>
    </w:p>
    <w:p>
      <w:r>
        <w:t xml:space="preserve">richts Limburg a. d. Lahn vom 24. Juli 2001 im Strafausspruch</w:t>
      </w:r>
    </w:p>
    <w:p>
      <w:r>
        <w:t xml:space="preserve">mit den zugehörigen Feststellungen aufgehoben.</w:t>
      </w:r>
    </w:p>
    <w:p>
      <w:r>
        <w:t xml:space="preserve">2. Im Umfang der Aufhebung wird die Sache zu neuer Verhand-</w:t>
      </w:r>
    </w:p>
    <w:p>
      <w:r>
        <w:t xml:space="preserve">lung und Entscheidung, auch über die Kosten des Rechtsmit-</w:t>
      </w:r>
    </w:p>
    <w:p>
      <w:r>
        <w:t xml:space="preserve">tels, an eine andere Strafkammer des Landgerichts zurück-</w:t>
      </w:r>
    </w:p>
    <w:p>
      <w:r>
        <w:t xml:space="preserve">verwiesen.</w:t>
      </w:r>
    </w:p>
    <w:p>
      <w:r>
        <w:t xml:space="preserve">3. Die weitergehende Revision wird verworfen.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I.</w:t>
      </w:r>
    </w:p>
    <w:p>
      <w:r>
        <w:t xml:space="preserve">Das Landgericht hat die Angeklagte wegen Handeltreibens mit Betäu-</w:t>
      </w:r>
    </w:p>
    <w:p>
      <w:r>
        <w:t xml:space="preserve">bungsmitteln in nicht geringer Menge zu einer Freiheitsstrafe von zwei Jahren</w:t>
      </w:r>
    </w:p>
    <w:p>
      <w:r>
        <w:t xml:space="preserve">verurteilt (deren Vollstreckung nicht zur Bewährung ausgesetzt wurde) und si-</w:t>
      </w:r>
    </w:p>
    <w:p>
      <w:r>
        <w:t xml:space="preserve">chergestellte Betäubungsmittel sowie DM 50,-- eingezogen. Die gegen dieses</w:t>
      </w:r>
    </w:p>
    <w:p>
      <w:r>
        <w:t xml:space="preserve">Urteil eingelegte Revision der Angeklagten, mit der sie die Verletzung materi-</w:t>
      </w:r>
    </w:p>
    <w:p>
      <w:r>
        <w:t xml:space="preserve">ellen Rechts rügt, hat hinsichtlich des Strafausspruchs Erfolg. Im übrigen ist</w:t>
      </w:r>
    </w:p>
    <w:p>
      <w:r>
        <w:t xml:space="preserve">das Rechtsmittel unbegründet im Sinne von § 349 Abs. 2 StPO.</w:t>
      </w:r>
    </w:p>
    <w:p>
      <w:r>
        <w:t xml:space="preserve">II.</w:t>
      </w:r>
    </w:p>
    <w:p>
      <w:r>
        <w:t xml:space="preserve">Der Strafausspruch hält rechtlicher Überprüfung nicht stand. Die Kam-</w:t>
      </w:r>
    </w:p>
    <w:p>
      <w:r>
        <w:t xml:space="preserve">mer hat die Strafe dem Regelstrafrahmen des § 29 a Abs. 1 BtMG entnommen;</w:t>
      </w:r>
    </w:p>
    <w:p>
      <w:r>
        <w:t xml:space="preserve">das Vorliegen eines minder schweren Falles gemäß § 29 a Abs. 2 BtMG hat sie</w:t>
      </w:r>
    </w:p>
    <w:p>
      <w:r>
        <w:t xml:space="preserve">verneint. Das Landgericht erörtert jedoch bei der Strafrahmenwahl nicht, ob die</w:t>
      </w:r>
    </w:p>
    <w:p>
      <w:r>
        <w:t xml:space="preserve">Voraussetzungen des "vertypten" Strafmilderungsgrundes des § 31 Nr. 1 BtMG</w:t>
      </w:r>
    </w:p>
    <w:p>
      <w:r>
        <w:t xml:space="preserve">vorliegen, obwohl sich diese Prüfung - worauf auch der Generalbundesanwalt</w:t>
      </w:r>
    </w:p>
    <w:p>
      <w:r>
        <w:t xml:space="preserve">zutreffend hinweist - nach den Ausführungen im Urteil aufgedrängt hätte (s. UA</w:t>
      </w:r>
    </w:p>
    <w:p>
      <w:r>
        <w:t xml:space="preserve">S. 7, 8, 10).</w:t>
      </w:r>
    </w:p>
    <w:p>
      <w:r>
        <w:t xml:space="preserve">Nach den Feststellungen des Landgerichts erwarb der gesondert ver-</w:t>
      </w:r>
    </w:p>
    <w:p>
      <w:r>
        <w:t xml:space="preserve">folgte B. Anfang Dezember 2000</w:t>
      </w:r>
    </w:p>
    <w:p>
      <w:r>
        <w:t xml:space="preserve">in den Niederlanden mindestens</w:t>
      </w:r>
    </w:p>
    <w:p>
      <w:r>
        <w:t xml:space="preserve">450 Gramm Heroin und 50 Gramm Kokain, nachdem er zuvor von dem geson-</w:t>
      </w:r>
    </w:p>
    <w:p>
      <w:r>
        <w:t xml:space="preserve">dert verfolgten Z. DM 20.000,-- bekommen hatte. Die Angeklagte erhielt von</w:t>
      </w:r>
    </w:p>
    <w:p>
      <w:r>
        <w:t xml:space="preserve">den von B. erworbenen Betäubungsmitteln ca. 50 Gramm Heroin und</w:t>
      </w:r>
    </w:p>
    <w:p>
      <w:r>
        <w:t xml:space="preserve">6 Gramm Kokain zum Preis von DM 50,-- auf Kommission, wobei sie beabsich-</w:t>
      </w:r>
    </w:p>
    <w:p>
      <w:r>
        <w:t xml:space="preserve">tigte, die Betäubungsmittel gewinnbringend weiter zu veräußern.</w:t>
      </w:r>
    </w:p>
    <w:p>
      <w:r>
        <w:t xml:space="preserve">Das Landgericht hat bei der Prüfung des minder schweren Falles zu-</w:t>
      </w:r>
    </w:p>
    <w:p>
      <w:r>
        <w:t xml:space="preserve">gunsten der Angeklagten ihr Geständnis berücksichtigt. Zudem hat es aus-</w:t>
      </w:r>
    </w:p>
    <w:p>
      <w:r>
        <w:t xml:space="preserve">drücklich festgestellt, daß die Angeklagte im Ermittlungsverfahren - in der</w:t>
      </w:r>
    </w:p>
    <w:p>
      <w:r>
        <w:t xml:space="preserve">Hauptverhandlung wollte sie hierzu nichts mehr sagen - die gesondert verfolg-</w:t>
      </w:r>
    </w:p>
    <w:p>
      <w:r>
        <w:t xml:space="preserve">ten B. und Z. als Beteiligte an der Straftat benannt (UA S. 7, 8) und</w:t>
      </w:r>
    </w:p>
    <w:p>
      <w:r>
        <w:t xml:space="preserve">Aufklärungshilfe geleistet hat (UA S. 10). Es hat jedoch nicht erörtert, ob durch</w:t>
      </w:r>
    </w:p>
    <w:p>
      <w:r>
        <w:t xml:space="preserve">die Angaben der Angeklagten ein wesentlicher Aufklärungserfolg i.S.v. § 31</w:t>
      </w:r>
    </w:p>
    <w:p>
      <w:r>
        <w:t xml:space="preserve">Nr. 1 BtMG eingetreten ist. Die Formulierung in den Urteilsgründen, die Ange-</w:t>
      </w:r>
    </w:p>
    <w:p>
      <w:r>
        <w:t xml:space="preserve">klagte habe die gesondert Verfolgten als Beteiligte an der Straftat benannt, läßt</w:t>
      </w:r>
    </w:p>
    <w:p>
      <w:r>
        <w:t xml:space="preserve">es zumindest als möglich erscheinen, daß die Voraussetzungen des § 31 Nr. 1</w:t>
      </w:r>
    </w:p>
    <w:p>
      <w:r>
        <w:t xml:space="preserve">BtMG gegeben sind. Daher war eine ausdrückliche Erörterung dieser Frage</w:t>
      </w:r>
    </w:p>
    <w:p>
      <w:r>
        <w:t xml:space="preserve">hier geboten, denn schon die Feststellung, der Angeklagte habe seine Liefe-</w:t>
      </w:r>
    </w:p>
    <w:p>
      <w:r>
        <w:t xml:space="preserve">ranten oder Abnehmer des Rauschgifts bzw. seine Mittäter offenbart/benannt,</w:t>
      </w:r>
    </w:p>
    <w:p>
      <w:r>
        <w:t xml:space="preserve">ist für den Tatrichter ein hinreichender Anlaß, die Anwendung des § 31 BtMG</w:t>
      </w:r>
    </w:p>
    <w:p>
      <w:r>
        <w:t xml:space="preserve">zu prüfen (vgl. BGH NStE Nr. 27 zu § 30 BtMG; NStZ-RR 1996, 181; Beschl.</w:t>
      </w:r>
    </w:p>
    <w:p>
      <w:r>
        <w:t xml:space="preserve">vom 2. Oktober 1998 - 2 StR 297/98; BGHR BtMG § 31 Nr. 1 Prüfungs-</w:t>
      </w:r>
    </w:p>
    <w:p>
      <w:r>
        <w:t xml:space="preserve">pflicht 1).</w:t>
      </w:r>
    </w:p>
    <w:p>
      <w:r>
        <w:t xml:space="preserve">Daß die Angeklagte in der Hauptverhandlung zu den Beteiligten keine</w:t>
      </w:r>
    </w:p>
    <w:p>
      <w:r>
        <w:t xml:space="preserve">Angaben mehr gemacht hat, änderte an der Erörterungspflicht nichts. Denn die</w:t>
      </w:r>
    </w:p>
    <w:p>
      <w:r>
        <w:t xml:space="preserve">Voraussetzungen des § 31 Nr. 1 BtMG sind auch dann erfüllt, wenn ein Ange-</w:t>
      </w:r>
    </w:p>
    <w:p>
      <w:r>
        <w:t xml:space="preserve">klagter, der im Ermittlungsverfahren hinreichende Angaben gemacht hat, im</w:t>
      </w:r>
    </w:p>
    <w:p>
      <w:r>
        <w:t xml:space="preserve">weiteren Verfahren schweigt (BGHR BtMG § 31 Nr. 1 Aufdeckung 4 und 6; vgl.</w:t>
      </w:r>
    </w:p>
    <w:p>
      <w:r>
        <w:t xml:space="preserve">auch BGH StV 1992, 421; BGHR BtMG § 31 Nr. 1 Aufdeckung 20, zum Wider-</w:t>
      </w:r>
    </w:p>
    <w:p>
      <w:r>
        <w:t xml:space="preserve">ruf der zuvor im Ermittlungsverfahren gemachten Angaben).</w:t>
      </w:r>
    </w:p>
    <w:p>
      <w:r>
        <w:t xml:space="preserve">Auf die vom Generalbundesanwalt angesprochene Frage, ob der Senat</w:t>
      </w:r>
    </w:p>
    <w:p>
      <w:r>
        <w:t xml:space="preserve">zur Beurteilung einer hinreichenden Erörterung der Voraussetzungen des § 31</w:t>
      </w:r>
    </w:p>
    <w:p>
      <w:r>
        <w:t xml:space="preserve">BtMG auch ohne Vorliegen einer Aufklärungsrüge auf Feststellungen des Ur-</w:t>
      </w:r>
    </w:p>
    <w:p>
      <w:r>
        <w:t xml:space="preserve">teils gegen B. und Z. zurückgreifen könnte, das Gegenstand des Verfahrens 2</w:t>
      </w:r>
    </w:p>
    <w:p>
      <w:r>
        <w:t xml:space="preserve">StR 494/01 war (vgl. dazu Meyer-Goßner/Cierniak StV 2000, 696 ff. m.w.N.),</w:t>
      </w:r>
    </w:p>
    <w:p>
      <w:r>
        <w:t xml:space="preserve">kommt es hier nicht an, weil sich der Rechtsfehler schon aus dem angefochte-</w:t>
      </w:r>
    </w:p>
    <w:p>
      <w:r>
        <w:t xml:space="preserve">nen Urteil selbst ergibt.</w:t>
      </w:r>
    </w:p>
    <w:p>
      <w:r>
        <w:t xml:space="preserve">Auf dem aufgezeigten Rechtsfehler beruht der Strafausspruch auch.</w:t>
      </w:r>
    </w:p>
    <w:p>
      <w:r>
        <w:t xml:space="preserve">Zwar hat das Landgericht bei der Erörterung der Voraussetzungen eines min-</w:t>
      </w:r>
    </w:p>
    <w:p>
      <w:r>
        <w:t xml:space="preserve">der schweren Falles die Benennung der Beteiligten durch die Angeklagte be-</w:t>
      </w:r>
    </w:p>
    <w:p>
      <w:r>
        <w:t xml:space="preserve">rücksichtigt. Dennoch kann nicht sicher ausgeschlossen werden, daß die Ver-</w:t>
      </w:r>
    </w:p>
    <w:p>
      <w:r>
        <w:t xml:space="preserve">urteilung milder ausgefallen wäre, wenn die Kammer die Voraussetzungen des</w:t>
      </w:r>
    </w:p>
    <w:p>
      <w:r>
        <w:t xml:space="preserve">§ 31 Nr. 1 BtMG geprüft hätte.</w:t>
      </w:r>
    </w:p>
    <w:p>
      <w:r>
        <w:t xml:space="preserve">Jähnke Otten Rothfuß</w:t>
      </w:r>
    </w:p>
    <w:p>
      <w:r>
        <w:t xml:space="preserve">Fischer Elf</w:t>
      </w:r>
    </w:p>
    <w:p>
      <w:r>
        <w:rPr>
          <w:color w:val="555555"/>
          <w:sz w:val="17"/>
        </w:rPr>
        <w:t xml:space="preserve">Zitiervorschlag: BGH, Urteil vom 06.03.2002 – 2 StR 491/01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https://recht.nulegal.eu/rechtsprechung/bgh/2002-03-06/2-str-491-01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Urteil vom 06.03.2002 – 2 StR 491/01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