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BGH, Beschluss vom 06.02.2002 – 2 ARs 26/02</w:t>
      </w:r>
    </w:p>
    <w:p>
      <w:r>
        <w:rPr>
          <w:color w:val="555555"/>
          <w:sz w:val="18"/>
        </w:rPr>
        <w:t xml:space="preserve">2. Strafsenat</w:t>
      </w:r>
    </w:p>
    <w:p>
      <w:r>
        <w:t xml:space="preserve">BUNDESGERICHTSHOF</w:t>
      </w:r>
    </w:p>
    <w:p>
      <w:r>
        <w:t xml:space="preserve">2 ARs 26/02 2 AR 6/02</w:t>
      </w:r>
    </w:p>
    <w:p>
      <w:pPr>
        <w:pStyle w:val="Heading2"/>
      </w:pPr>
      <w:r>
        <w:t xml:space="preserve">BESCHLUSS</w:t>
      </w:r>
    </w:p>
    <w:p>
      <w:r>
        <w:t xml:space="preserve">vom 6. Februar 2002 in der Strafsache gegen</w:t>
      </w:r>
    </w:p>
    <w:p>
      <w:r>
        <w:t xml:space="preserve">wegen falscher uneidlicher Aussage</w:t>
      </w:r>
    </w:p>
    <w:p>
      <w:r>
        <w:t xml:space="preserve">Az.: ARs 7/01 Generalstaatsanwaltschaft Naumburg Az.: 8 Cs J 268 Js 211631/00 Amtsgericht Weißenfels Az.:73 Cs 406 Js 25497/01 Amtsgericht Leipzig</w:t>
      </w:r>
    </w:p>
    <w:p>
      <w:r>
        <w:t xml:space="preserve">Der 2. Strafsenat des Bundesgerichtshofs hat nach Anhörung des Generalbundesanwalts am 6. Februar 2002 beschlossen:</w:t>
      </w:r>
    </w:p>
    <w:p>
      <w:r>
        <w:t xml:space="preserve">1. Der Beschluß des Amtsgerichts Weißenfels vom 13. März 2001, durch den das Verfahren gemäß § 42 Abs. 3 JGG an das Landgericht Leipzig abgegeben wurde, wird aufgehoben.</w:t>
      </w:r>
    </w:p>
    <w:p>
      <w:r>
        <w:t xml:space="preserve">2. Das Amtsgericht Weißenfels ist für die Untersuchung und</w:t>
      </w:r>
    </w:p>
    <w:p>
      <w:r>
        <w:t xml:space="preserve">Entscheidung der Sache zuständig.</w:t>
      </w:r>
    </w:p>
    <w:p>
      <w:r>
        <w:t xml:space="preserve">Zur Begründung wird auf die zutreffenden Ausführungen in der Antragsschrift des Generalbundesanwalts vom 22. Januar 2002 verwiesen.</w:t>
      </w:r>
    </w:p>
    <w:p>
      <w:r>
        <w:t xml:space="preserve">Bode Detter Rothfuß Fischer Ri'inBGH Elf ist durch Urlaub an der Unterschrift gehindert. Bode</w:t>
      </w:r>
    </w:p>
    <w:p>
      <w:r>
        <w:rPr>
          <w:color w:val="555555"/>
          <w:sz w:val="17"/>
        </w:rPr>
        <w:t xml:space="preserve">Zitiervorschlag: BGH, Beschluss vom 06.02.2002 – 2 ARs 26/02</w:t>
      </w:r>
    </w:p>
    <w:p>
      <w:r>
        <w:rPr>
          <w:color w:val="555555"/>
          <w:sz w:val="17"/>
        </w:rPr>
        <w:t xml:space="preserve">Quelle: bundesgerichtshof.de, abgerufen 10.07.2026</w:t>
      </w:r>
    </w:p>
    <w:p>
      <w:r>
        <w:rPr>
          <w:color w:val="555555"/>
          <w:sz w:val="17"/>
        </w:rPr>
        <w:t xml:space="preserve">Nicht-amtliche Fassung — maßgeblich ist die Ausfertigung des Gerichts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https://recht.nulegal.eu/rechtsprechung/bgh/2002-02-06/2-ars-26-02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Fassung. Maßgeblich ist die Fassung des Gerichts.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BGH, Beschluss vom 06.02.2002 – 2 ARs 26/02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