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06.04.2001 – 2 StR 75/01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75/01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6. April 2001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sexuellen Mißbrauchs eines Kindes u.a.</w:t>
      </w:r>
    </w:p>
    <w:p>
      <w:r>
        <w:t xml:space="preserve">Der 2. Strafsenat des Bundesgerichtshofs hat auf Antrag des Generalbun-</w:t>
      </w:r>
    </w:p>
    <w:p>
      <w:r>
        <w:t xml:space="preserve">desanwalts und nach Anhörung des Beschwerdeführers am 6. April 2001 ge-</w:t>
      </w:r>
    </w:p>
    <w:p>
      <w:r>
        <w:t xml:space="preserve">mäß § 349 Abs. 2 und 4 StPO beschlossen:</w:t>
      </w:r>
    </w:p>
    <w:p>
      <w:r>
        <w:t xml:space="preserve">Die Revision des Angeklagten gegen das Urteil des Landgerichts</w:t>
      </w:r>
    </w:p>
    <w:p>
      <w:r>
        <w:t xml:space="preserve">Kassel vom 30. Mai 2000 wird mit der Maßgabe verworfen, daß in</w:t>
      </w:r>
    </w:p>
    <w:p>
      <w:r>
        <w:t xml:space="preserve">den Fällen 3 und 4 die Verurteilung wegen tateinheitlich began-</w:t>
      </w:r>
    </w:p>
    <w:p>
      <w:r>
        <w:t xml:space="preserve">genem sexuellen Mißbrauchs einer Schutzbefohlenen entfällt.</w:t>
      </w:r>
    </w:p>
    <w:p>
      <w:r>
        <w:t xml:space="preserve">Der Angeklagte hat die Kosten seines Rechtsmittels zu tragen.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sexuellen Mißbrauchs von</w:t>
      </w:r>
    </w:p>
    <w:p>
      <w:r>
        <w:t xml:space="preserve">Kindern in neun Fällen, in sieben Fällen in Tateinheit mit sexuellem Mißbrauch</w:t>
      </w:r>
    </w:p>
    <w:p>
      <w:r>
        <w:t xml:space="preserve">von Schutzbefohlenen und in zwei Fällen in Tateinheit mit Beischlaf zwischen</w:t>
      </w:r>
    </w:p>
    <w:p>
      <w:r>
        <w:t xml:space="preserve">Verwandten sowie wegen Mißbrauchs von Schutzbefohlenen in zwei Fällen, in</w:t>
      </w:r>
    </w:p>
    <w:p>
      <w:r>
        <w:t xml:space="preserve">einem Fall in Tateinheit mit Beischlaf zwischen Verwandten zu einer Ge-</w:t>
      </w:r>
    </w:p>
    <w:p>
      <w:r>
        <w:t xml:space="preserve">samtfreiheitsstrafe von vier Jahren und sechs Monaten verurteilt. Im übrigen</w:t>
      </w:r>
    </w:p>
    <w:p>
      <w:r>
        <w:t xml:space="preserve">hat es ihn freigesprochen.</w:t>
      </w:r>
    </w:p>
    <w:p>
      <w:r>
        <w:t xml:space="preserve">Mit seiner Revision rügt der Angeklagte die Verletzung formellen und</w:t>
      </w:r>
    </w:p>
    <w:p>
      <w:r>
        <w:t xml:space="preserve">materiellen Rechts. Das Rechtsmittel führt zu der aus der Beschlußformel er-</w:t>
      </w:r>
    </w:p>
    <w:p>
      <w:r>
        <w:t xml:space="preserve">sichtlichen Einschränkung des Schuldspruchs, im übrigen ist es unbegründet</w:t>
      </w:r>
    </w:p>
    <w:p>
      <w:r>
        <w:t xml:space="preserve">im Sinne des § 349 Abs. 2 StPO.</w:t>
      </w:r>
    </w:p>
    <w:p>
      <w:r>
        <w:t xml:space="preserve">Die Verurteilung des Angeklagten wegen sexuellen Mißbrauchs von</w:t>
      </w:r>
    </w:p>
    <w:p>
      <w:r>
        <w:t xml:space="preserve">Schutzbefohlenen gemäß § 174 Abs. 1 Nr. 3 StGB (aF) in den Fällen 3 und 4</w:t>
      </w:r>
    </w:p>
    <w:p>
      <w:r>
        <w:t xml:space="preserve">der Urteilsgründe kann keinen Bestand haben. Nach den Feststellungen des</w:t>
      </w:r>
    </w:p>
    <w:p>
      <w:r>
        <w:t xml:space="preserve">Urteils lagen die Tatzeiten in den Jahren 1990 und 1992. Zum Zeitpunkt der</w:t>
      </w:r>
    </w:p>
    <w:p>
      <w:r>
        <w:t xml:space="preserve">ersten verjährungsunterbrechenden Handlung gemäß § 78 c Abs. 1 Nr. 1 StGB</w:t>
      </w:r>
    </w:p>
    <w:p>
      <w:r>
        <w:t xml:space="preserve">(Vernehmung des Beschuldigten am 26. November 1997) war daher die im Fall</w:t>
      </w:r>
    </w:p>
    <w:p>
      <w:r>
        <w:t xml:space="preserve">des § 174 Abs. 1 StGB fünf Jahre betragende Verjährungsfrist (§ 78 Abs. 3 Nr.</w:t>
      </w:r>
    </w:p>
    <w:p>
      <w:r>
        <w:t xml:space="preserve">4 StGB) bereits verstrichen.</w:t>
      </w:r>
    </w:p>
    <w:p>
      <w:r>
        <w:t xml:space="preserve">Die Einschränkung des Schuldspruchs hat aber keinen Einfluß auf den</w:t>
      </w:r>
    </w:p>
    <w:p>
      <w:r>
        <w:t xml:space="preserve">Strafausspruch. Die Einzelstrafen in diesen Fällen (Freiheitsstrafe von 10 Mo-</w:t>
      </w:r>
    </w:p>
    <w:p>
      <w:r>
        <w:t xml:space="preserve">nate bzw. 2 Jahren und 6 Monaten) können bestehen bleiben. Das Landgericht</w:t>
      </w:r>
    </w:p>
    <w:p>
      <w:r>
        <w:t xml:space="preserve">hat zwar als straferschwerend gewertet, daß der Angeklagte auch das Schutz-</w:t>
      </w:r>
    </w:p>
    <w:p>
      <w:r>
        <w:t xml:space="preserve">gut des § 174 StGB verletzt hat. Der Senat kann aber ausschließen, daß noch</w:t>
      </w:r>
    </w:p>
    <w:p>
      <w:r>
        <w:t xml:space="preserve">niedrigere Einzelstrafen festgesetzt worden wären, wenn insoweit die Verjäh-</w:t>
      </w:r>
    </w:p>
    <w:p>
      <w:r>
        <w:t xml:space="preserve">rung berücksichtigt worden wäre, zumal verjährte Taten, wenn auch mit gerin-</w:t>
      </w:r>
    </w:p>
    <w:p>
      <w:r>
        <w:t xml:space="preserve">gerem Gewicht (vgl. BGHR StGB § 46 Abs. 2 Vorleben 20 und 24 m.w.N.),</w:t>
      </w:r>
    </w:p>
    <w:p>
      <w:r>
        <w:t xml:space="preserve">straferschwerend berücksichtigt werden können.</w:t>
      </w:r>
    </w:p>
    <w:p>
      <w:r>
        <w:t xml:space="preserve">Jähnke Detter Bode</w:t>
      </w:r>
    </w:p>
    <w:p>
      <w:r>
        <w:t xml:space="preserve">Otten Elf</w:t>
      </w:r>
    </w:p>
    <w:p>
      <w:r>
        <w:rPr>
          <w:color w:val="555555"/>
          <w:sz w:val="17"/>
        </w:rPr>
        <w:t xml:space="preserve">Zitiervorschlag: BGH, Beschluss vom 06.04.2001 – 2 StR 75/01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https://recht.nulegal.eu/rechtsprechung/bgh/2001-04-06/2-str-75-01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06.04.2001 – 2 StR 75/01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