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21.12.2000 – 4 StR 499/00</w:t>
      </w:r>
    </w:p>
    <w:p>
      <w:r>
        <w:rPr>
          <w:color w:val="555555"/>
          <w:sz w:val="18"/>
        </w:rPr>
        <w:t xml:space="preserve">4. Strafsenat</w:t>
      </w:r>
    </w:p>
    <w:p>
      <w:r>
        <w:t xml:space="preserve">BUNDESGERICHTSHOF</w:t>
      </w:r>
    </w:p>
    <w:p>
      <w:r>
        <w:t xml:space="preserve">4 StR 499/00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21. Dezember 2000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Totschlags</w:t>
      </w:r>
    </w:p>
    <w:p>
      <w:r>
        <w:t xml:space="preserve">Der 4. Strafsenat des Bundesgerichtshofs hat nach Anhörung des Generalbun-</w:t>
      </w:r>
    </w:p>
    <w:p>
      <w:r>
        <w:t xml:space="preserve">desanwalts und des Beschwerdeführers am 21. Dezember 2000 gemäß § 349</w:t>
      </w:r>
    </w:p>
    <w:p>
      <w:r>
        <w:t xml:space="preserve">Abs. 2 und 4 StPO beschlossen:</w:t>
      </w:r>
    </w:p>
    <w:p>
      <w:r>
        <w:t xml:space="preserve">I. Auf die Revision des Angeklagten wird das Urteil des Landge-</w:t>
      </w:r>
    </w:p>
    <w:p>
      <w:r>
        <w:t xml:space="preserve">richts Saarbrücken vom 7. Juli 2000</w:t>
      </w:r>
    </w:p>
    <w:p>
      <w:r>
        <w:t xml:space="preserve">1. im Schuldspruch dahin geändert, daß der Angeklagte des</w:t>
      </w:r>
    </w:p>
    <w:p>
      <w:r>
        <w:t xml:space="preserve">Totschlags schuldig ist,</w:t>
      </w:r>
    </w:p>
    <w:p>
      <w:r>
        <w:t xml:space="preserve">2. im Strafausspruch aufgehoben.</w:t>
      </w:r>
    </w:p>
    <w:p>
      <w:r>
        <w:t xml:space="preserve">II. Die Sache wird zur Neufestsetzung der Strafe und zur Entschei-</w:t>
      </w:r>
    </w:p>
    <w:p>
      <w:r>
        <w:t xml:space="preserve">dung über die Kosten des Rechtsmittels an eine andere als</w:t>
      </w:r>
    </w:p>
    <w:p>
      <w:r>
        <w:t xml:space="preserve">Schwurgericht zuständige Strafkammer des Landgerichts zu-</w:t>
      </w:r>
    </w:p>
    <w:p>
      <w:r>
        <w:t xml:space="preserve">rückverwiesen.</w:t>
      </w:r>
    </w:p>
    <w:p>
      <w:r>
        <w:t xml:space="preserve">III. Die weiter gehende Revision wird verworfen.</w:t>
      </w:r>
    </w:p>
    <w:p>
      <w:pPr>
        <w:pStyle w:val="Heading2"/>
      </w:pPr>
      <w:r>
        <w:t xml:space="preserve">Gründe</w:t>
      </w:r>
    </w:p>
    <w:p>
      <w:r>
        <w:t xml:space="preserve">Das Landgericht hat den Angeklagten wegen Mordes zu lebenslanger</w:t>
      </w:r>
    </w:p>
    <w:p>
      <w:r>
        <w:t xml:space="preserve">Freiheitsstrafe verurteilt. Hiergegen wendet sich der Angeklagte mit seiner Re-</w:t>
      </w:r>
    </w:p>
    <w:p>
      <w:r>
        <w:t xml:space="preserve">vision, mit der er das Verfahren beanstandet und die Verletzung sachlichen</w:t>
      </w:r>
    </w:p>
    <w:p>
      <w:r>
        <w:t xml:space="preserve">Rechts rügt. Das Rechtsmittel führt zur Änderung des Schuldspruchs und Auf-</w:t>
      </w:r>
    </w:p>
    <w:p>
      <w:r>
        <w:t xml:space="preserve">hebung des Strafausspruchs; im übrigen ist es unbegründet im Sinne des</w:t>
      </w:r>
    </w:p>
    <w:p>
      <w:r>
        <w:t xml:space="preserve">§ 349 Abs. 2 StPO.</w:t>
      </w:r>
    </w:p>
    <w:p>
      <w:r>
        <w:t xml:space="preserve">1. Die Verfahrensbeschwerden, mit denen sich die Revision insbesonde-</w:t>
      </w:r>
    </w:p>
    <w:p>
      <w:r>
        <w:t xml:space="preserve">re gegen die Verneinung einer die Tat rechtfertigenden Notwehrlage und die</w:t>
      </w:r>
    </w:p>
    <w:p>
      <w:r>
        <w:t xml:space="preserve">Annahme uneingeschränkter Schuldfähigkeit durch das Landgericht wendet,</w:t>
      </w:r>
    </w:p>
    <w:p>
      <w:r>
        <w:t xml:space="preserve">greifen nicht durch. Insoweit verweist der Senat auf die Ausführungen in der</w:t>
      </w:r>
    </w:p>
    <w:p>
      <w:r>
        <w:t xml:space="preserve">Antragsschrift des Generalbundesanwalts vom 27. November 2000, die durch</w:t>
      </w:r>
    </w:p>
    <w:p>
      <w:r>
        <w:t xml:space="preserve">das Vorbringen im Schriftsatz der Verteidigung vom 18. Dezember 2000 nicht</w:t>
      </w:r>
    </w:p>
    <w:p>
      <w:r>
        <w:t xml:space="preserve">entkräftet werden.</w:t>
      </w:r>
    </w:p>
    <w:p>
      <w:r>
        <w:t xml:space="preserve">2. Dagegen hat die Revision zum Schuldspruch mit der Sachrüge Erfolg.</w:t>
      </w:r>
    </w:p>
    <w:p>
      <w:r>
        <w:t xml:space="preserve">Die Verurteilung des Angeklagten wegen Mordes hält rechtlicher Nachprüfung</w:t>
      </w:r>
    </w:p>
    <w:p>
      <w:r>
        <w:t xml:space="preserve">nicht stand; die Annahme des Landgerichts, der Angeklagte habe aus niedri-</w:t>
      </w:r>
    </w:p>
    <w:p>
      <w:r>
        <w:t xml:space="preserve">gen Beweggründen im Sinne des § 211 Abs. 2 StGB gehandelt, begegnet - wie</w:t>
      </w:r>
    </w:p>
    <w:p>
      <w:r>
        <w:t xml:space="preserve">die Revision zu Recht geltend macht - schon in objektiver Hinsicht durchgrei-</w:t>
      </w:r>
    </w:p>
    <w:p>
      <w:r>
        <w:t xml:space="preserve">fenden rechtlichen Bedenken.</w:t>
      </w:r>
    </w:p>
    <w:p>
      <w:r>
        <w:t xml:space="preserve">Beweggründe zu einem Tötungsverbrechen sind "niedrig", wenn sie</w:t>
      </w:r>
    </w:p>
    <w:p>
      <w:r>
        <w:t xml:space="preserve">nach allgemeiner sittlicher Wertung auf tiefster Stufe stehen und in deutlich</w:t>
      </w:r>
    </w:p>
    <w:p>
      <w:r>
        <w:t xml:space="preserve">weiterreichendem Maße als bei einem Totschlag als verwerflich und deshalb</w:t>
      </w:r>
    </w:p>
    <w:p>
      <w:r>
        <w:t xml:space="preserve">als besonders verachtenswert erscheinen; die Beurteilung dieser Frage hat auf</w:t>
      </w:r>
    </w:p>
    <w:p>
      <w:r>
        <w:t xml:space="preserve">Grund einer Gesamtwürdigung aller äußeren und inneren für die Handlungs-</w:t>
      </w:r>
    </w:p>
    <w:p>
      <w:r>
        <w:t xml:space="preserve">antriebe des Täters maßgeblichen Faktoren zu erfolgen (st. Rspr.; vgl. BGHSt</w:t>
      </w:r>
    </w:p>
    <w:p>
      <w:r>
        <w:t xml:space="preserve">35, 116, 127; BGH StV 1996, 211, 212). Das Landgericht begründet die An-</w:t>
      </w:r>
    </w:p>
    <w:p>
      <w:r>
        <w:t xml:space="preserve">nahme, der Angeklagte habe Patrick E. aus "niedrigen Beweggründen" getötet,</w:t>
      </w:r>
    </w:p>
    <w:p>
      <w:r>
        <w:t xml:space="preserve">wie folgt:</w:t>
      </w:r>
    </w:p>
    <w:p>
      <w:r>
        <w:t xml:space="preserve">"Er hat ihn ... getötet, weil er sich an E. dafür rächen wollte, daß dieser</w:t>
      </w:r>
    </w:p>
    <w:p>
      <w:r>
        <w:t xml:space="preserve">ihm die langjährige Freundin ausgespannt hatte. Er fühlte sich durch E.</w:t>
      </w:r>
    </w:p>
    <w:p>
      <w:r>
        <w:t xml:space="preserve">hintergangen, weil dieser mit ihm befreundet gewesen ist und er ihm fi-</w:t>
      </w:r>
    </w:p>
    <w:p>
      <w:r>
        <w:t xml:space="preserve">nanziell geholfen hatte. Der Angeklagte wußte, daß eine Wiederauf-</w:t>
      </w:r>
    </w:p>
    <w:p>
      <w:r>
        <w:t xml:space="preserve">nahme seiner Beziehung zu .... Katja P. nicht mehr möglich war. Bei der</w:t>
      </w:r>
    </w:p>
    <w:p>
      <w:r>
        <w:t xml:space="preserve">Tötung des Patrick E. ging es ihm in erster Linie um seine eigenen</w:t>
      </w:r>
    </w:p>
    <w:p>
      <w:r>
        <w:t xml:space="preserve">egoistischen Belange; er wollte den Patrick E. bestrafen. Nachdem er</w:t>
      </w:r>
    </w:p>
    <w:p>
      <w:r>
        <w:t xml:space="preserve">bereits einen im Ergebnis tödlichen Schuß auf Patrick E. abgegeben</w:t>
      </w:r>
    </w:p>
    <w:p>
      <w:r>
        <w:t xml:space="preserve">hatte, verfolgte er diesen und gab auf den verzweifelt um sein Leben</w:t>
      </w:r>
    </w:p>
    <w:p>
      <w:r>
        <w:t xml:space="preserve">kämpfenden Patrick E. einen zweiten tödlichen Schuß von hinten in den</w:t>
      </w:r>
    </w:p>
    <w:p>
      <w:r>
        <w:t xml:space="preserve">Rücken ab. Wer unter solchen Umständen einem Menschen das Le-</w:t>
      </w:r>
    </w:p>
    <w:p>
      <w:r>
        <w:t xml:space="preserve">bensrecht abspricht, handelt zutiefst verwerflich."</w:t>
      </w:r>
    </w:p>
    <w:p>
      <w:r>
        <w:t xml:space="preserve">Diese Erwägungen rechtfertigen die Wertung der Beweggründe für die</w:t>
      </w:r>
    </w:p>
    <w:p>
      <w:r>
        <w:t xml:space="preserve">Tötung als "niedrig" im Sinne des § 211 Abs. 2 StGB nicht. Gefühlsregungen</w:t>
      </w:r>
    </w:p>
    <w:p>
      <w:r>
        <w:t xml:space="preserve">wie Rache, aber auch Wut, Haß und Eifersucht, kommen nach der Rechtspre-</w:t>
      </w:r>
    </w:p>
    <w:p>
      <w:r>
        <w:t xml:space="preserve">chung nur dann als niedrige Beweggründe in Betracht, wenn sie ihrerseits auf</w:t>
      </w:r>
    </w:p>
    <w:p>
      <w:r>
        <w:t xml:space="preserve">niedrigen Beweggründen beruhen (Lackner/Kühl StGB 23. Aufl. § 211 Rdn. 5 a</w:t>
      </w:r>
    </w:p>
    <w:p>
      <w:r>
        <w:t xml:space="preserve">m. Nachw.). Das ist am ehesten der Fall, wenn diese Gefühlsregungen jegli-</w:t>
      </w:r>
    </w:p>
    <w:p>
      <w:r>
        <w:t xml:space="preserve">chen nachvollziehbaren Grundes entbehren (BGHR StGB § 211 Abs. 2 niedri-</w:t>
      </w:r>
    </w:p>
    <w:p>
      <w:r>
        <w:t xml:space="preserve">ge Beweggründe 8, 16, 22; BGH, Urt. vom 3. Februar 1993 - 2 StR 389/92). So</w:t>
      </w:r>
    </w:p>
    <w:p>
      <w:r>
        <w:t xml:space="preserve">verhält es sich hier jedoch nicht:</w:t>
      </w:r>
    </w:p>
    <w:p>
      <w:r>
        <w:t xml:space="preserve">Nicht jede Tötung, die geschieht, weil sich der Intimpartner vom Täter</w:t>
      </w:r>
    </w:p>
    <w:p>
      <w:r>
        <w:t xml:space="preserve">abwenden will oder abgewandt hat, beruht deshalb zwangsläufig schon auf</w:t>
      </w:r>
    </w:p>
    <w:p>
      <w:r>
        <w:t xml:space="preserve">niedrigen Beweggründen. Vielmehr können in einem solchen Fall tatauslösend</w:t>
      </w:r>
    </w:p>
    <w:p>
      <w:r>
        <w:t xml:space="preserve">und tatbestimmend auch Gefühle der Enttäuschung und "ungerechter" Be-</w:t>
      </w:r>
    </w:p>
    <w:p>
      <w:r>
        <w:t xml:space="preserve">handlung sein, die einer Wertung als "niedrig" entgegenstehen (BGHR StGB</w:t>
      </w:r>
    </w:p>
    <w:p>
      <w:r>
        <w:t xml:space="preserve">§ 211 Abs. 2 niedrige Beweggründe 18, 32 m.w.N.). Davon geht die Recht-</w:t>
      </w:r>
    </w:p>
    <w:p>
      <w:r>
        <w:t xml:space="preserve">sprechung auch dann aus, wenn der Täter den Grund für die Trennung selbst</w:t>
      </w:r>
    </w:p>
    <w:p>
      <w:r>
        <w:t xml:space="preserve">herbeigeführt hat (BGH StV 2000, 20 f). Um so mehr gilt dies, wenn - wie hier -</w:t>
      </w:r>
    </w:p>
    <w:p>
      <w:r>
        <w:t xml:space="preserve">die Trennung von dem Partner ausgegangen ist, die der Täter - wie das Land-</w:t>
      </w:r>
    </w:p>
    <w:p>
      <w:r>
        <w:t xml:space="preserve">gericht in bezug auf den Angeklagten ausdrücklich feststellt - nicht "verkraftet"</w:t>
      </w:r>
    </w:p>
    <w:p>
      <w:r>
        <w:t xml:space="preserve">(UA 4). Zwar kommt auch in solch einem Fall die Bewertung der Beweggründe</w:t>
      </w:r>
    </w:p>
    <w:p>
      <w:r>
        <w:t xml:space="preserve">als "niedrig" in Betracht, wenn der Täter den Partner oder den "Nebenbuhler"</w:t>
      </w:r>
    </w:p>
    <w:p>
      <w:r>
        <w:t xml:space="preserve">aus krasser, übersteigerter Eifersucht tötet, weil er sie einander nicht gönnt</w:t>
      </w:r>
    </w:p>
    <w:p>
      <w:r>
        <w:t xml:space="preserve">(vgl. BGHSt 22, 12, 13; Tröndle/Fischer StGB 49. Aufl. § 211 Rdn. 5 a m.w.N.).</w:t>
      </w:r>
    </w:p>
    <w:p>
      <w:r>
        <w:t xml:space="preserve">Davon kann hier aber schon deshalb keine Rede sein, weil der Angeklagte</w:t>
      </w:r>
    </w:p>
    <w:p>
      <w:r>
        <w:t xml:space="preserve">nach der Trennung von Katja P. eine neue Beziehung eingegangen war. Bei</w:t>
      </w:r>
    </w:p>
    <w:p>
      <w:r>
        <w:t xml:space="preserve">der Bewertung des den Angeklagten beherrschenden Motivbündels (vgl. BGH</w:t>
      </w:r>
    </w:p>
    <w:p>
      <w:r>
        <w:t xml:space="preserve">NJW 1981, 1382; BGHR StGB § 211 Abs. 2 niedrige Beweggründe 20) kam</w:t>
      </w:r>
    </w:p>
    <w:p>
      <w:r>
        <w:t xml:space="preserve">deshalb dem Umstand entscheidende Bedeutung zu, daß der Angeklagte sich</w:t>
      </w:r>
    </w:p>
    <w:p>
      <w:r>
        <w:t xml:space="preserve">von dem Tatopfer "verraten" (UA 4) fühlte. Dieses Gefühl der Kränkung erhielt</w:t>
      </w:r>
    </w:p>
    <w:p>
      <w:r>
        <w:t xml:space="preserve">sein besonderes Gewicht zudem dadurch, daß es sein Freund gewesen war,</w:t>
      </w:r>
    </w:p>
    <w:p>
      <w:r>
        <w:t xml:space="preserve">der ihn in dieser Weise "hintergangen" hatte (UA 10). Wenn der Angeklagte</w:t>
      </w:r>
    </w:p>
    <w:p>
      <w:r>
        <w:t xml:space="preserve">hiernach "sauer" auf Patrick E. war, weil dieser seine Beziehung zu Katja P.</w:t>
      </w:r>
    </w:p>
    <w:p>
      <w:r>
        <w:t xml:space="preserve">"auseinandergebracht hatte" (UA 9), so fehlt es ungeachtet der Verwerflichkeit,</w:t>
      </w:r>
    </w:p>
    <w:p>
      <w:r>
        <w:t xml:space="preserve">die jeder vorsätzlichen und rechtswidrigen Tötung eines anderen innewohnt,</w:t>
      </w:r>
    </w:p>
    <w:p>
      <w:r>
        <w:t xml:space="preserve">nicht an jeglichem menschlichen Verständnis für die den Angeklagten zur Tat</w:t>
      </w:r>
    </w:p>
    <w:p>
      <w:r>
        <w:t xml:space="preserve">bestimmenden Motive, wie dies deren Qualifikation als "niedrig" im Sinne des</w:t>
      </w:r>
    </w:p>
    <w:p>
      <w:r>
        <w:t xml:space="preserve">Mordtatbestandes voraussetzen würde. Hinzukommt, daß das Landgericht im</w:t>
      </w:r>
    </w:p>
    <w:p>
      <w:r>
        <w:t xml:space="preserve">Zusammenhang mit den für die Beurteilung bedeutsamen persönlichen Bezie-</w:t>
      </w:r>
    </w:p>
    <w:p>
      <w:r>
        <w:t xml:space="preserve">hungen zwischen Täter und Opfer (vgl. Eser NStZ 1983, 433, 435 m.N.) hier</w:t>
      </w:r>
    </w:p>
    <w:p>
      <w:r>
        <w:t xml:space="preserve">auch die im Vorfeld der Tat gegenseitig ausgesprochenen Morddrohungen im</w:t>
      </w:r>
    </w:p>
    <w:p>
      <w:r>
        <w:t xml:space="preserve">Rahmen der gebotenen Gesamtabwägung nicht unberücksichtigt lassen durfte.</w:t>
      </w:r>
    </w:p>
    <w:p>
      <w:r>
        <w:t xml:space="preserve">Daß der Angeklagte dem Tatopfer "das Lebensrecht abgesprochen" hat,</w:t>
      </w:r>
    </w:p>
    <w:p>
      <w:r>
        <w:t xml:space="preserve">ist Gegenstand jeden vorsätzlichen Tötungsdelikts und rechtfertigt deshalb die</w:t>
      </w:r>
    </w:p>
    <w:p>
      <w:r>
        <w:t xml:space="preserve">Einstufung der Beweggründe als "niedrig" für sich nicht. Nichts anderes ergibt</w:t>
      </w:r>
    </w:p>
    <w:p>
      <w:r>
        <w:t xml:space="preserve">sich hier daraus, daß der Angeklagte nach dem ersten Schuß Patrick E. noch</w:t>
      </w:r>
    </w:p>
    <w:p>
      <w:r>
        <w:t xml:space="preserve">verfolgte und ihm einen weiteren tödlichen Schuß versetzte; denn dies belegt</w:t>
      </w:r>
    </w:p>
    <w:p>
      <w:r>
        <w:t xml:space="preserve">hier lediglich seinen - wie das Landgericht zutreffend annimmt - "unbedingten</w:t>
      </w:r>
    </w:p>
    <w:p>
      <w:r>
        <w:t xml:space="preserve">Tötungswillen" (UA 10).</w:t>
      </w:r>
    </w:p>
    <w:p>
      <w:r>
        <w:t xml:space="preserve">3. Der Senat schließt aus, daß sich auf Grund neuer Hauptverhandlung</w:t>
      </w:r>
    </w:p>
    <w:p>
      <w:r>
        <w:t xml:space="preserve">noch weitere Feststellungen treffen lassen, die ein Handeln aus "niedrigen Be-</w:t>
      </w:r>
    </w:p>
    <w:p>
      <w:r>
        <w:t xml:space="preserve">weggründen" ergeben könnten. Anhaltspunkte für weitere mordqualifizierende</w:t>
      </w:r>
    </w:p>
    <w:p>
      <w:r>
        <w:t xml:space="preserve">Merkmale bestehen nicht; solche werden auch in der zugelassenen Anklage</w:t>
      </w:r>
    </w:p>
    <w:p>
      <w:r>
        <w:t xml:space="preserve">nicht angenommen. Der Senat ändert deshalb den Schuldspruch von sich aus</w:t>
      </w:r>
    </w:p>
    <w:p>
      <w:r>
        <w:t xml:space="preserve">dahin, daß der Angeklagte des Totschlags (§ 212 Abs. 1 StGB) schuldig ist.</w:t>
      </w:r>
    </w:p>
    <w:p>
      <w:r>
        <w:t xml:space="preserve">Die Schuldspruchänderung macht die Aufhebung des Strafausspruchs</w:t>
      </w:r>
    </w:p>
    <w:p>
      <w:r>
        <w:t xml:space="preserve">erforderlich. Dagegen sind die der Festsetzung der lebenslangen Freiheits-</w:t>
      </w:r>
    </w:p>
    <w:p>
      <w:r>
        <w:t xml:space="preserve">strafe zugrundeliegenden Feststellungen – namentlich diejenigen zur vollen</w:t>
      </w:r>
    </w:p>
    <w:p>
      <w:r>
        <w:t xml:space="preserve">Schuldfähigkeit des Angeklagten, die das Landgericht rechtsfehlerfrei bejaht</w:t>
      </w:r>
    </w:p>
    <w:p>
      <w:r>
        <w:t xml:space="preserve">hat – von dem aufgezeigten Rechtsfehler nicht betroffen; sie können deshalb</w:t>
      </w:r>
    </w:p>
    <w:p>
      <w:r>
        <w:t xml:space="preserve">bestehen bleiben. Dies schließt ergänzende Feststellungen durch den neuen</w:t>
      </w:r>
    </w:p>
    <w:p>
      <w:r>
        <w:t xml:space="preserve">Tatrichter, die dazu nicht in Widerspruch stehen, nicht aus.</w:t>
      </w:r>
    </w:p>
    <w:p>
      <w:r>
        <w:t xml:space="preserve">Meyer-Goßner Maatz Athing</w:t>
      </w:r>
    </w:p>
    <w:p>
      <w:r>
        <w:t xml:space="preserve">(cid:0)(cid:2)(cid:1)(cid:4)(cid:3)(cid:6)(cid:5)(cid:8)(cid:7)(cid:10)(cid:9)(cid:11)(cid:0)(cid:13)(cid:12)(cid:14)(cid:1)(cid:16)(cid:15)(cid:18)(cid:17)(cid:19)(cid:7)(cid:10)(cid:1)(cid:21)(cid:20)(cid:22)(cid:5)(cid:24)(cid:23)</w:t>
      </w:r>
    </w:p>
    <w:p>
      <w:r>
        <w:t xml:space="preserve">(cid:25)(cid:27)(cid:26)(cid:28)(cid:7)(cid:10)(cid:29)(cid:19)(cid:30)(cid:31)(cid:17)(cid:19)(cid:7) (cid:7)</w:t>
      </w:r>
    </w:p>
    <w:p>
      <w:r>
        <w:rPr>
          <w:color w:val="555555"/>
          <w:sz w:val="17"/>
        </w:rPr>
        <w:t xml:space="preserve">Zitiervorschlag: BGH, Beschluss vom 21.12.2000 – 4 StR 499/00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https://recht.nulegal.eu/rechtsprechung/bgh/2000-12-21/4-str-499-00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