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13.12.2000 – 1 StR 547/00</w:t>
      </w:r>
    </w:p>
    <w:p>
      <w:r>
        <w:rPr>
          <w:color w:val="555555"/>
          <w:sz w:val="18"/>
        </w:rPr>
        <w:t xml:space="preserve">1. Strafsenat</w:t>
      </w:r>
    </w:p>
    <w:p>
      <w:r>
        <w:t xml:space="preserve">BUNDESGERICHTSHOF</w:t>
      </w:r>
    </w:p>
    <w:p>
      <w:r>
        <w:t xml:space="preserve">1 StR 547/00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13. Dezember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unerlaubter Einfuhr von Betäubungsmitteln in nicht geringer Menge u.a.</w:t>
      </w:r>
    </w:p>
    <w:p>
      <w:r>
        <w:t xml:space="preserve">Der 1. Strafsenat des Bundesgerichtshofs hat am 13. Dezember 2000 gemäß</w:t>
      </w:r>
    </w:p>
    <w:p>
      <w:r>
        <w:t xml:space="preserve">§ 349 Abs. 2 StPO beschlossen:</w:t>
      </w:r>
    </w:p>
    <w:p>
      <w:r>
        <w:t xml:space="preserve">Die Revision des Angeklagten gegen das Urteil des Landgerichts</w:t>
      </w:r>
    </w:p>
    <w:p>
      <w:r>
        <w:t xml:space="preserve">Karlsruhe vom 4. Juli 2000 wird verworfen.</w:t>
      </w:r>
    </w:p>
    <w:p>
      <w:r>
        <w:t xml:space="preserve">Der Beschwerdeführer hat die Kosten des Rechtsmittels zu tra-</w:t>
      </w:r>
    </w:p>
    <w:p>
      <w:r>
        <w:t xml:space="preserve">gen.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Angeklagten, unter Freisprechung im übrigen,</w:t>
      </w:r>
    </w:p>
    <w:p>
      <w:r>
        <w:t xml:space="preserve">wegen unerlaubten Handeltreibens mit Betäubungsmitteln in nicht geringer</w:t>
      </w:r>
    </w:p>
    <w:p>
      <w:r>
        <w:t xml:space="preserve">Menge in Tateinheit mit unerlaubtem Erwerb von Betäubungsmitteln in acht</w:t>
      </w:r>
    </w:p>
    <w:p>
      <w:r>
        <w:t xml:space="preserve">Fällen, wegen unerlaubter Einfuhr von Betäubungsmitteln in nicht geringer</w:t>
      </w:r>
    </w:p>
    <w:p>
      <w:r>
        <w:t xml:space="preserve">Menge in Tateinheit mit unerlaubtem Handeltreiben mit Betäubungsmitteln in</w:t>
      </w:r>
    </w:p>
    <w:p>
      <w:r>
        <w:t xml:space="preserve">nicht geringer Menge in zehn Fällen sowie wegen versuchter schwerer räuberi-</w:t>
      </w:r>
    </w:p>
    <w:p>
      <w:r>
        <w:t xml:space="preserve">scher Erpressung in Tateinheit mit Beihilfe zum bewaffneten Handeltreiben mit</w:t>
      </w:r>
    </w:p>
    <w:p>
      <w:r>
        <w:t xml:space="preserve">Betäubungsmitteln in nicht geringer Menge und mit gefährlicher Körperverlet-</w:t>
      </w:r>
    </w:p>
    <w:p>
      <w:r>
        <w:t xml:space="preserve">zung zu einer Gesamtfreiheitsstrafe von acht Jahren und neun Monaten verur-</w:t>
      </w:r>
    </w:p>
    <w:p>
      <w:r>
        <w:t xml:space="preserve">teilt. Außerdem hat es ein Kraftfahrzeug eingezogen und den Verfall von Wer-</w:t>
      </w:r>
    </w:p>
    <w:p>
      <w:r>
        <w:t xml:space="preserve">tersatz in Höhe von 500.000 DM angeordnet. Die auf die Anordnung des Ver-</w:t>
      </w:r>
    </w:p>
    <w:p>
      <w:r>
        <w:t xml:space="preserve">falls beschränkte Revision des Angeklagten bleibt ohne Erfolg, da die Nach-</w:t>
      </w:r>
    </w:p>
    <w:p>
      <w:r>
        <w:t xml:space="preserve">prüfung des Urteils auf Grund der Revisionsrechtfertigung keinen Rechtsfehler</w:t>
      </w:r>
    </w:p>
    <w:p>
      <w:r>
        <w:t xml:space="preserve">zum Nachteil des Angeklagten ergeben hat (§ 349 Abs. 2 StPO).</w:t>
      </w:r>
    </w:p>
    <w:p>
      <w:r>
        <w:t xml:space="preserve">Die Revision wendet sich zu Unrecht dagegen, daß das Landgericht bei</w:t>
      </w:r>
    </w:p>
    <w:p>
      <w:r>
        <w:t xml:space="preserve">der Abschöpfung nach § 73a StGB auf Grund des sog. Bruttoprinzips von dem</w:t>
      </w:r>
    </w:p>
    <w:p>
      <w:r>
        <w:t xml:space="preserve">gesamten Verkaufserlös für das Rauschgift - ohne Abzug von Einkaufspreis</w:t>
      </w:r>
    </w:p>
    <w:p>
      <w:r>
        <w:t xml:space="preserve">und sonstiger Aufwendungen - ausgegangen ist. Der Senat hat sich zur Zuläs-</w:t>
      </w:r>
    </w:p>
    <w:p>
      <w:r>
        <w:t xml:space="preserve">sigkeit einer solchen Verfahrensweise bereits mit Beschluß vom 22. November</w:t>
      </w:r>
    </w:p>
    <w:p>
      <w:r>
        <w:t xml:space="preserve">2000 - 1 StR 479/00 - grundsätzlich geäußert und dabei insbesondere darauf</w:t>
      </w:r>
    </w:p>
    <w:p>
      <w:r>
        <w:t xml:space="preserve">hingewiesen, daß der Verfall des Rauschgifterlöses auch nach der Einführung</w:t>
      </w:r>
    </w:p>
    <w:p>
      <w:r>
        <w:t xml:space="preserve">des Bruttoprinzips im Jahre 1992 dem Ausgleich unrechtmäßiger Vermögens-</w:t>
      </w:r>
    </w:p>
    <w:p>
      <w:r>
        <w:t xml:space="preserve">verschiebung dient. Der Angeklagte hat auf Grund der Nichtigkeit der Kauf-</w:t>
      </w:r>
    </w:p>
    <w:p>
      <w:r>
        <w:t xml:space="preserve">preisübereignung gemäß § 134 BGB (BGH NJW 1983, 636; Palandt/Heinrichs</w:t>
      </w:r>
    </w:p>
    <w:p>
      <w:r>
        <w:t xml:space="preserve">BGB 59. Aufl. § 134 Rdn. 13) kein Eigentum an dem für das Kokain erhaltenen</w:t>
      </w:r>
    </w:p>
    <w:p>
      <w:r>
        <w:t xml:space="preserve">Geld erworben (was nach §§ 73 Abs. 4, 73a StGB dem Verfall des Wertersat-</w:t>
      </w:r>
    </w:p>
    <w:p>
      <w:r>
        <w:t xml:space="preserve">zes nicht entgegensteht). Die Abschöpfung betrifft mithin Vermögensbestand-</w:t>
      </w:r>
    </w:p>
    <w:p>
      <w:r>
        <w:t xml:space="preserve">teile, hinsichtlich deren ein rechtlich schützenswertes Vertrauen, sie behalten</w:t>
      </w:r>
    </w:p>
    <w:p>
      <w:r>
        <w:t xml:space="preserve">zu dürfen, bei dem Angeklagten nie bestanden hat.</w:t>
      </w:r>
    </w:p>
    <w:p>
      <w:r>
        <w:t xml:space="preserve">Der Senat verkennt nicht, daß es beim Verfall des Wertersatzes zu</w:t>
      </w:r>
    </w:p>
    <w:p>
      <w:r>
        <w:t xml:space="preserve">Härten kommen kann. Dies hat der Gesetzgeber bedacht und in § 73c StGB</w:t>
      </w:r>
    </w:p>
    <w:p>
      <w:r>
        <w:t xml:space="preserve">einen Härteausgleich vorgesehen; in Ausnahmefällen (vgl. BGH NStZ 1995,</w:t>
      </w:r>
    </w:p>
    <w:p>
      <w:r>
        <w:t xml:space="preserve">495 und 2000, 481) kann demnach ganz oder teilweise von der Verfallanord-</w:t>
      </w:r>
    </w:p>
    <w:p>
      <w:r>
        <w:t xml:space="preserve">nung abgesehen werden. Das Landgericht hat sich mit dieser Härtevorschrift</w:t>
      </w:r>
    </w:p>
    <w:p>
      <w:r>
        <w:t xml:space="preserve">auseinandergesetzt, dabei bedacht, daß es sich um nicht mehr im Vermögen</w:t>
      </w:r>
    </w:p>
    <w:p>
      <w:r>
        <w:t xml:space="preserve">des Angeklagten vorhandene Bruttoerlöse handelt, und - bei einem Gesamtbe-</w:t>
      </w:r>
    </w:p>
    <w:p>
      <w:r>
        <w:t xml:space="preserve">trag der Erlöse in Höhe von 546.500 DM - einen Abzug für den Lebensunter-</w:t>
      </w:r>
    </w:p>
    <w:p>
      <w:r>
        <w:t xml:space="preserve">halt des Angeklagten und seiner Familie in der nachvollziehbaren Höhe von</w:t>
      </w:r>
    </w:p>
    <w:p>
      <w:r>
        <w:t xml:space="preserve">46.500 DM gemacht.</w:t>
      </w:r>
    </w:p>
    <w:p>
      <w:r>
        <w:t xml:space="preserve">Schäfer Nack Schluckebier</w:t>
      </w:r>
    </w:p>
    <w:p>
      <w:r>
        <w:t xml:space="preserve">Kolz Schaal</w:t>
      </w:r>
    </w:p>
    <w:p>
      <w:r>
        <w:rPr>
          <w:color w:val="555555"/>
          <w:sz w:val="17"/>
        </w:rPr>
        <w:t xml:space="preserve">Zitiervorschlag: BGH, Beschluss vom 13.12.2000 – 1 StR 547/00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https://recht.nulegal.eu/rechtsprechung/bgh/2000-12-13/1-str-547-00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13.12.2000 – 1 StR 547/00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