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21.11.2000 – 1 StR 433/00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1 StR 433/00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21. November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unerlaubter Einfuhr von Betäubungsmitteln in nicht geringer Menge u.a.</w:t>
      </w:r>
    </w:p>
    <w:p>
      <w:r>
        <w:t xml:space="preserve">Der 1. Strafsenat des Bundesgerichtshofs hat in der Sitzung vom 21. Novem-</w:t>
      </w:r>
    </w:p>
    <w:p>
      <w:r>
        <w:t xml:space="preserve">ber 2000, an der teilgenommen haben:</w:t>
      </w:r>
    </w:p>
    <w:p>
      <w:r>
        <w:t xml:space="preserve">Vorsitzender Richter am Bundesgerichtshof</w:t>
      </w:r>
    </w:p>
    <w:p>
      <w:r>
        <w:t xml:space="preserve">Dr. Schäfer</w:t>
      </w:r>
    </w:p>
    <w:p>
      <w:r>
        <w:t xml:space="preserve">und die Richter am Bundesgerichtshof</w:t>
      </w:r>
    </w:p>
    <w:p>
      <w:r>
        <w:t xml:space="preserve">Dr. Wahl,</w:t>
      </w:r>
    </w:p>
    <w:p>
      <w:r>
        <w:t xml:space="preserve">Dr. Boetticher,</w:t>
      </w:r>
    </w:p>
    <w:p>
      <w:r>
        <w:t xml:space="preserve">Schluckebier,</w:t>
      </w:r>
    </w:p>
    <w:p>
      <w:r>
        <w:t xml:space="preserve">Dr. Kolz,</w:t>
      </w:r>
    </w:p>
    <w:p>
      <w:r>
        <w:t xml:space="preserve">Oberstaatsanwalt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als Verteidiger,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Die Revision des Angeklagten gegen das Urteil des Landgerichts</w:t>
      </w:r>
    </w:p>
    <w:p>
      <w:r>
        <w:t xml:space="preserve">Ravensburg vom 3. Juli 2000 wird verworfen.</w:t>
      </w:r>
    </w:p>
    <w:p>
      <w:r>
        <w:t xml:space="preserve">Der Beschwerdeführer hat die Kosten seines Rechtsmittels zu</w:t>
      </w:r>
    </w:p>
    <w:p>
      <w:r>
        <w:t xml:space="preserve">tragen.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unerlaubter Einfuhr von</w:t>
      </w:r>
    </w:p>
    <w:p>
      <w:r>
        <w:t xml:space="preserve">Betäubungsmitteln in nicht geringer Menge in Tateinheit mit unerlaubtem Han-</w:t>
      </w:r>
    </w:p>
    <w:p>
      <w:r>
        <w:t xml:space="preserve">deltreiben von Betäubungsmitteln in nicht geringer Menge in drei Fällen, wegen</w:t>
      </w:r>
    </w:p>
    <w:p>
      <w:r>
        <w:t xml:space="preserve">Beihilfe zur unerlaubten Einfuhr von Betäubungsmitteln in nicht geringer Men-</w:t>
      </w:r>
    </w:p>
    <w:p>
      <w:r>
        <w:t xml:space="preserve">ge in Tateinheit mit unerlaubtem Handeltreiben von Betäubungsmitteln in nicht</w:t>
      </w:r>
    </w:p>
    <w:p>
      <w:r>
        <w:t xml:space="preserve">geringer Menge sowie wegen unerlaubten Handeltreibens mit Betäubungsmit-</w:t>
      </w:r>
    </w:p>
    <w:p>
      <w:r>
        <w:t xml:space="preserve">teln in nicht geringer Menge zu einer Gesamtfreiheitsstrafe von drei Jahren und</w:t>
      </w:r>
    </w:p>
    <w:p>
      <w:r>
        <w:t xml:space="preserve">zwei Monaten verurteilt. Außerdem hat es den Verfall des Wertersatzes von</w:t>
      </w:r>
    </w:p>
    <w:p>
      <w:r>
        <w:t xml:space="preserve">1.500 DM angeordnet. Die Rüge der Verletzung sachlichen Rechts bleibt ohne</w:t>
      </w:r>
    </w:p>
    <w:p>
      <w:r>
        <w:t xml:space="preserve">Erfolg.</w:t>
      </w:r>
    </w:p>
    <w:p>
      <w:r>
        <w:t xml:space="preserve">1. Die Überprüfung des Urteils hat keinen Rechtsfehler zum Nachteil des</w:t>
      </w:r>
    </w:p>
    <w:p>
      <w:r>
        <w:t xml:space="preserve">Angeklagten ergeben. Der Erörterung bedarf allein die vom Generalbundesan-</w:t>
      </w:r>
    </w:p>
    <w:p>
      <w:r>
        <w:t xml:space="preserve">walt in seiner Zuschrift aufgeworfene Frage, ob der Angeklagte in den Fällen II.</w:t>
      </w:r>
    </w:p>
    <w:p>
      <w:r>
        <w:t xml:space="preserve">1 bis 3 der Urteilsgründe neben der täterschaftlich begangenen Einfuhr von</w:t>
      </w:r>
    </w:p>
    <w:p>
      <w:r>
        <w:t xml:space="preserve">Betäubungsmitteln in nicht geringer Menge in drei Fällen nur der tateinheitlich</w:t>
      </w:r>
    </w:p>
    <w:p>
      <w:r>
        <w:t xml:space="preserve">begangenen Beihilfe zum Handeltreiben mit Betäubungsmitteln in nicht gerin-</w:t>
      </w:r>
    </w:p>
    <w:p>
      <w:r>
        <w:t xml:space="preserve">ger Menge schuldig ist.</w:t>
      </w:r>
    </w:p>
    <w:p>
      <w:r>
        <w:t xml:space="preserve">Dazu hat das Landgericht festgestellt: Dem Angeklagten wurde im</w:t>
      </w:r>
    </w:p>
    <w:p>
      <w:r>
        <w:t xml:space="preserve">Frühjahr 1999 von dem inzwischen rechtskräftig verurteilten S. ange-</w:t>
      </w:r>
    </w:p>
    <w:p>
      <w:r>
        <w:t xml:space="preserve">boten, im Betäubungsmittelhandel Geld zu verdienen. Der Angeklagte wollte</w:t>
      </w:r>
    </w:p>
    <w:p>
      <w:r>
        <w:t xml:space="preserve">S. als Freund nicht verlieren, zeigte aber insbesondere Interesse daran,</w:t>
      </w:r>
    </w:p>
    <w:p>
      <w:r>
        <w:t xml:space="preserve">seine finanziellen Verhältnisse zu verbessern und zusätzliche Einnahmen zu</w:t>
      </w:r>
    </w:p>
    <w:p>
      <w:r>
        <w:t xml:space="preserve">erzielen, da er einen aufwendigen Lebensstil pflegte und bei ihm ständig</w:t>
      </w:r>
    </w:p>
    <w:p>
      <w:r>
        <w:t xml:space="preserve">Geldmangel herrschte. Nachdem ihm jeweils S. das Kaufgeld für Kokain</w:t>
      </w:r>
    </w:p>
    <w:p>
      <w:r>
        <w:t xml:space="preserve">ausgehändigt hatte, führte er mit der Bahn drei Beschaffungsfahrten in die Nie-</w:t>
      </w:r>
    </w:p>
    <w:p>
      <w:r>
        <w:t xml:space="preserve">derlande durch. Für jede Beschaffungsfahrt erhielt er jeweils 2.000 DM. Der</w:t>
      </w:r>
    </w:p>
    <w:p>
      <w:r>
        <w:t xml:space="preserve">Angeklagte wußte von vornherein, daß die von ihm eingeführten Rauschgift-</w:t>
      </w:r>
    </w:p>
    <w:p>
      <w:r>
        <w:t xml:space="preserve">mengen stets für den gewinnbringenden Weiterverkauf bestimmt waren. An</w:t>
      </w:r>
    </w:p>
    <w:p>
      <w:r>
        <w:t xml:space="preserve">diesem Weiterverkauf war er auch beteiligt. So portionierte er im Auftrag von</w:t>
      </w:r>
    </w:p>
    <w:p>
      <w:r>
        <w:t xml:space="preserve">S. das Kokain in Einzelverkaufsmengen und lieferte Einzelmengen zwi-</w:t>
      </w:r>
    </w:p>
    <w:p>
      <w:r>
        <w:t xml:space="preserve">schen 10 g und 40 g an verschiedene Abnehmer in Österreich und in I. . Da-</w:t>
      </w:r>
    </w:p>
    <w:p>
      <w:r>
        <w:t xml:space="preserve">bei war er nicht nur als Auslieferer tätig, er kassierte auch bei den Drogenab-</w:t>
      </w:r>
    </w:p>
    <w:p>
      <w:r>
        <w:t xml:space="preserve">nehmern die jeweiligen Kaufpreise, wechselte österreichische Schillinge in</w:t>
      </w:r>
    </w:p>
    <w:p>
      <w:r>
        <w:t xml:space="preserve">Deutsche Mark um und lieferte das Geld bei S. ab. Pro Fahrt nach I. er-</w:t>
      </w:r>
    </w:p>
    <w:p>
      <w:r>
        <w:t xml:space="preserve">hielt er von S. 60 bis 80 DM, pro Fahrt nach Österreich bekam er 100 bis</w:t>
      </w:r>
    </w:p>
    <w:p>
      <w:r>
        <w:t xml:space="preserve">120 DM.</w:t>
      </w:r>
    </w:p>
    <w:p>
      <w:r>
        <w:t xml:space="preserve">2. Der Senat vermag der Auffassung des Generalbundesanwalts nicht</w:t>
      </w:r>
    </w:p>
    <w:p>
      <w:r>
        <w:t xml:space="preserve">zu folgen, der Angeklagte hätte in den Fällen II. 1 bis 3 der Urteilsgründe nach</w:t>
      </w:r>
    </w:p>
    <w:p>
      <w:r>
        <w:t xml:space="preserve">den getroffenen Feststellungen nicht wegen täterschaftlichen Handeltreibens,</w:t>
      </w:r>
    </w:p>
    <w:p>
      <w:r>
        <w:t xml:space="preserve">sondern nur wegen Beihilfe verurteilt werden dürfen.</w:t>
      </w:r>
    </w:p>
    <w:p>
      <w:r>
        <w:t xml:space="preserve">Nach ständiger Rechtsprechung des Bundesgerichtshofes ist unerlaub-</w:t>
      </w:r>
    </w:p>
    <w:p>
      <w:r>
        <w:t xml:space="preserve">tes Handeltreiben jedes eigennützige Bemühen, das darauf gerichtet ist, den</w:t>
      </w:r>
    </w:p>
    <w:p>
      <w:r>
        <w:t xml:space="preserve">Umsatz von Betäubungsmitteln zu ermöglichen und zu fördern, selbst wenn es</w:t>
      </w:r>
    </w:p>
    <w:p>
      <w:r>
        <w:t xml:space="preserve">sich um eine einmalige, gelegentliche oder vermittelnde Tätigkeit handelt (We-</w:t>
      </w:r>
    </w:p>
    <w:p>
      <w:r>
        <w:t xml:space="preserve">ber, BtMG § 29 Rdn. 82 m.Nachw.). Die Abgrenzung von Mittäterschaft zur</w:t>
      </w:r>
    </w:p>
    <w:p>
      <w:r>
        <w:t xml:space="preserve">Beihilfe erfolgt nach den allgemeinen Grundsätzen des Strafrechts (BGHR</w:t>
      </w:r>
    </w:p>
    <w:p>
      <w:r>
        <w:t xml:space="preserve">BtMG § 29 Abs. 1 Nr. 1 Handeltreiben 25, 36). Der Tatrichter hat auf Grund</w:t>
      </w:r>
    </w:p>
    <w:p>
      <w:r>
        <w:t xml:space="preserve">wertender Betrachtung aller von der Vorstellung des Täters umfaßten Umstän-</w:t>
      </w:r>
    </w:p>
    <w:p>
      <w:r>
        <w:t xml:space="preserve">de zu entscheiden, ob der Angeklagte als Mittäter und nicht nur als Gehilfe an</w:t>
      </w:r>
    </w:p>
    <w:p>
      <w:r>
        <w:t xml:space="preserve">der Straftat beteiligt war. Wesentliche Anhaltspunkte für diese Beurteilung</w:t>
      </w:r>
    </w:p>
    <w:p>
      <w:r>
        <w:t xml:space="preserve">können sein der Grad des eigenen Interesses am Erfolg, der Umfang der Tat-</w:t>
      </w:r>
    </w:p>
    <w:p>
      <w:r>
        <w:t xml:space="preserve">beteiligung und die Tatherrschaft oder wenigstens der Wille zur Tatherrschaft,</w:t>
      </w:r>
    </w:p>
    <w:p>
      <w:r>
        <w:t xml:space="preserve">so daß Durchführung und Ausgang der Tat maßgeblich auch vom Willen des</w:t>
      </w:r>
    </w:p>
    <w:p>
      <w:r>
        <w:t xml:space="preserve">Angeklagten abhängen (st.Rspr.; vgl. BGH NStZ 2000, 482; 1999, 451, 452).</w:t>
      </w:r>
    </w:p>
    <w:p>
      <w:r>
        <w:t xml:space="preserve">Für den Bereich des Handeltreibens ist maßgeblich, welchen Einfluß der</w:t>
      </w:r>
    </w:p>
    <w:p>
      <w:r>
        <w:t xml:space="preserve">Angeklagte auf die Bestimmung von Art und Menge des zu transportierenden</w:t>
      </w:r>
    </w:p>
    <w:p>
      <w:r>
        <w:t xml:space="preserve">Rauschgifts oder auf die Gestaltung von Übernahme und Transport hatte</w:t>
      </w:r>
    </w:p>
    <w:p>
      <w:r>
        <w:t xml:space="preserve">(BGH, Beschl. vom 2. Juli 1998 - 1 StR 280/98). Danach genügt eine ganz un-</w:t>
      </w:r>
    </w:p>
    <w:p>
      <w:r>
        <w:t xml:space="preserve">tergeordnete Tätigkeit des Kuriers für die Annahme der Mittäterschaft in aller</w:t>
      </w:r>
    </w:p>
    <w:p>
      <w:r>
        <w:t xml:space="preserve">Regel nicht (BGH StV 1999, 429).</w:t>
      </w:r>
    </w:p>
    <w:p>
      <w:r>
        <w:t xml:space="preserve">Die tatrichterliche Wertung, daß der Angeklagte in den Fällen II. 1 bis 3</w:t>
      </w:r>
    </w:p>
    <w:p>
      <w:r>
        <w:t xml:space="preserve">der Urteilsgründe nicht nur das Kokain aus den Niederlanden einführte, son-</w:t>
      </w:r>
    </w:p>
    <w:p>
      <w:r>
        <w:t xml:space="preserve">dern auch zu den nachfolgenden Umsatzgeschäften ein ausgeprägtes Nähe-</w:t>
      </w:r>
    </w:p>
    <w:p>
      <w:r>
        <w:t xml:space="preserve">verhältnis hatte, wird durch die Feststellungen des Landgerichts hinreichend</w:t>
      </w:r>
    </w:p>
    <w:p>
      <w:r>
        <w:t xml:space="preserve">belegt. Zwar kann im Einzelfall auch ein Täter der Einfuhr, der damit aus ei-</w:t>
      </w:r>
    </w:p>
    <w:p>
      <w:r>
        <w:t xml:space="preserve">gennützigen Motiven fremde Umsatzgeschäfte fördert, hinsichtlich des Handel-</w:t>
      </w:r>
    </w:p>
    <w:p>
      <w:r>
        <w:t xml:space="preserve">treibens nur Gehilfe sein; dies setzt aber voraus, daß seine Rolle insoweit nur</w:t>
      </w:r>
    </w:p>
    <w:p>
      <w:r>
        <w:t xml:space="preserve">ganz untergeordnet ist (vgl. BGHR BtMG § 29 I Nr. 1 Handeltreiben 25; BGH</w:t>
      </w:r>
    </w:p>
    <w:p>
      <w:r>
        <w:t xml:space="preserve">StV 1999, 429). So liegt es hier nicht. Der Angeklagte wußte von vornherein,</w:t>
      </w:r>
    </w:p>
    <w:p>
      <w:r>
        <w:t xml:space="preserve">daß seine gegenüber S. zu erfüllende Aufgabe nicht mit der Einfuhr des</w:t>
      </w:r>
    </w:p>
    <w:p>
      <w:r>
        <w:t xml:space="preserve">Kokains beendet war, sondern daß er die von ihm selbst abgepackten Portio-</w:t>
      </w:r>
    </w:p>
    <w:p>
      <w:r>
        <w:t xml:space="preserve">nen an die Abnehmer zu verteilen und für die Abrechnung des Kaufgeldes zu</w:t>
      </w:r>
    </w:p>
    <w:p>
      <w:r>
        <w:t xml:space="preserve">sorgen hatte. Dabei war er in seiner Entscheidung frei, wann und wie er das</w:t>
      </w:r>
    </w:p>
    <w:p>
      <w:r>
        <w:t xml:space="preserve">Kokain zunächst im Keller seiner Wohnung in L. aufbewahrte und wann</w:t>
      </w:r>
    </w:p>
    <w:p>
      <w:r>
        <w:t xml:space="preserve">er es an die Abnehmer ablieferte.</w:t>
      </w:r>
    </w:p>
    <w:p>
      <w:r>
        <w:t xml:space="preserve">Nach den getroffenen Feststellungen begegnet die - nur begrenzter re-</w:t>
      </w:r>
    </w:p>
    <w:p>
      <w:r>
        <w:t xml:space="preserve">visionsrechtlicher Kontrolle zugängliche Bewertung über das Vorliegen von</w:t>
      </w:r>
    </w:p>
    <w:p>
      <w:r>
        <w:t xml:space="preserve">Täterschaft oder Beihilfe (BGH NStZ-RR 1998, 25; vgl. ausführlich zum</w:t>
      </w:r>
    </w:p>
    <w:p>
      <w:r>
        <w:t xml:space="preserve">tatrichterlichen Beurteilungsspielraum Maatz/Wahl FS aus Anlaß des fünfzig-</w:t>
      </w:r>
    </w:p>
    <w:p>
      <w:r>
        <w:t xml:space="preserve">jährigen</w:t>
      </w:r>
    </w:p>
    <w:p>
      <w:r>
        <w:t xml:space="preserve">Bestehens des BGH S. 531, 552) - Entscheidung des Landgerichts, es liege</w:t>
      </w:r>
    </w:p>
    <w:p>
      <w:r>
        <w:t xml:space="preserve">täterschaftliches Handeltreiben vor, keinen Bedenken. Deshalb stellt es hier</w:t>
      </w:r>
    </w:p>
    <w:p>
      <w:r>
        <w:t xml:space="preserve">auch keinen Rechtsfehler dar, daß die Strafkammer ihre Auffassung zu dieser</w:t>
      </w:r>
    </w:p>
    <w:p>
      <w:r>
        <w:t xml:space="preserve">Abgrenzung nicht ausdrücklich dargelegt hat.</w:t>
      </w:r>
    </w:p>
    <w:p>
      <w:r>
        <w:t xml:space="preserve">Schäfer Wahl Boetticher</w:t>
      </w:r>
    </w:p>
    <w:p>
      <w:r>
        <w:t xml:space="preserve">Schluckebier Kolz</w:t>
      </w:r>
    </w:p>
    <w:p>
      <w:r>
        <w:rPr>
          <w:color w:val="555555"/>
          <w:sz w:val="17"/>
        </w:rPr>
        <w:t xml:space="preserve">Zitiervorschlag: BGH, Urteil vom 21.11.2000 – 1 StR 433/00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https://recht.nulegal.eu/rechtsprechung/bgh/2000-11-21/1-str-433-00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21.11.2000 – 1 StR 433/00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