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03.11.2000 – 2 ARs 285/00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285/00 2 AR 186/00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3. November 2000</w:t>
      </w:r>
    </w:p>
    <w:p>
      <w:r>
        <w:t xml:space="preserve">in der Strafvollstreckungssache</w:t>
      </w:r>
    </w:p>
    <w:p>
      <w:r>
        <w:t xml:space="preserve">gegen</w:t>
      </w:r>
    </w:p>
    <w:p>
      <w:r>
        <w:t xml:space="preserve">Az.: 5 c StVK 12 - 15/00 Landgericht Lübeck</w:t>
      </w:r>
    </w:p>
    <w:p>
      <w:r>
        <w:t xml:space="preserve">Az.: 613 StVK 907 - 910/00 Landgericht Hamburg</w:t>
      </w:r>
    </w:p>
    <w:p>
      <w:r>
        <w:t xml:space="preserve">Der 2. Strafsenat des Bundesgerichtshofs hat nach Anhörung des Generalbun-</w:t>
      </w:r>
    </w:p>
    <w:p>
      <w:r>
        <w:t xml:space="preserve">desanwalts am 3. November 2000 beschlossen:</w:t>
      </w:r>
    </w:p>
    <w:p>
      <w:r>
        <w:t xml:space="preserve">Die Strafvollstreckungskammer des Landgerichts Hamburg ist für</w:t>
      </w:r>
    </w:p>
    <w:p>
      <w:r>
        <w:t xml:space="preserve">die Nachtragsentscheidungen in den Sachen 5 c StVK 12/00,</w:t>
      </w:r>
    </w:p>
    <w:p>
      <w:r>
        <w:t xml:space="preserve">14/00 und 15/00 des Landgerichts Lübeck zuständig. In der Sa-</w:t>
      </w:r>
    </w:p>
    <w:p>
      <w:r>
        <w:t xml:space="preserve">che 5 c StVK 13/00 verbleibt es bei der Zuständigkeit der Straf-</w:t>
      </w:r>
    </w:p>
    <w:p>
      <w:r>
        <w:t xml:space="preserve">vollstreckungskammer des Landgerichts Lübeck.</w:t>
      </w:r>
    </w:p>
    <w:p>
      <w:pPr>
        <w:pStyle w:val="Heading2"/>
      </w:pPr>
      <w:r>
        <w:t xml:space="preserve">Gründe</w:t>
      </w:r>
    </w:p>
    <w:p>
      <w:r>
        <w:t xml:space="preserve">Mit der Aufnahme der Verurteilten in die JVA H. am 23. Februar</w:t>
      </w:r>
    </w:p>
    <w:p>
      <w:r>
        <w:t xml:space="preserve">2000 ging die Zuständigkeit für alle Entscheidungen, die sich auf die Ausset-</w:t>
      </w:r>
    </w:p>
    <w:p>
      <w:r>
        <w:t xml:space="preserve">zung des Vollzugs von Freiheitsstrafe und Unterbringung bezogen, auf die</w:t>
      </w:r>
    </w:p>
    <w:p>
      <w:r>
        <w:t xml:space="preserve">Strafvollstreckungskammer des Landgerichts Hamburg über, unabhängig da-</w:t>
      </w:r>
    </w:p>
    <w:p>
      <w:r>
        <w:t xml:space="preserve">von, ob diese Strafvollstreckungskammer mit einer bestimmten Entscheidung</w:t>
      </w:r>
    </w:p>
    <w:p>
      <w:r>
        <w:t xml:space="preserve">befaßt worden ist (§ 462 a Abs. 1 StPO; Beschluß des Senats vom 27. Sep-</w:t>
      </w:r>
    </w:p>
    <w:p>
      <w:r>
        <w:t xml:space="preserve">tember 1996 – 2 ARs 360/96 zitiert bei Kusch NStZ 1997, 379; BGH NStZ</w:t>
      </w:r>
    </w:p>
    <w:p>
      <w:r>
        <w:t xml:space="preserve">2000, 111). Die Strafvollstreckungskammer des Landgerichts Lübeck blieb nur</w:t>
      </w:r>
    </w:p>
    <w:p>
      <w:r>
        <w:t xml:space="preserve">für die Entscheidung in den Sachen zuständig, mit denen sie bereits vorher</w:t>
      </w:r>
    </w:p>
    <w:p>
      <w:r>
        <w:t xml:space="preserve">"befaßt" war und über die sie noch nicht abschließend entschieden hatte</w:t>
      </w:r>
    </w:p>
    <w:p>
      <w:r>
        <w:t xml:space="preserve">(BGHSt 26, 165 ff.; 278, 279; 30, 189 ff.; BGH NStZ 1993, 100; 1997, 406,</w:t>
      </w:r>
    </w:p>
    <w:p>
      <w:r>
        <w:t xml:space="preserve">407). Sie blieb deshalb abweichend von § 462 a Abs. 1 StPO auch nach der</w:t>
      </w:r>
    </w:p>
    <w:p>
      <w:r>
        <w:t xml:space="preserve">Aufnahme der Verurteilten in die JVA H. zunächst für die Entscheidung</w:t>
      </w:r>
    </w:p>
    <w:p>
      <w:r>
        <w:t xml:space="preserve">über den Widerruf der von ihr bewilligten Strafaussetzung zur Bewährung zu-</w:t>
      </w:r>
    </w:p>
    <w:p>
      <w:r>
        <w:t xml:space="preserve">ständig, da sie mit dieser Frage bereits befaßt war (BGHSt 30, 191; BGH NStZ</w:t>
      </w:r>
    </w:p>
    <w:p>
      <w:r>
        <w:t xml:space="preserve">1993, 100; BGHR StPO § 462 a Abs. 1 Befaßtsein 4). Ihre Zuständigkeit en-</w:t>
      </w:r>
    </w:p>
    <w:p>
      <w:r>
        <w:t xml:space="preserve">dete aber mit ihrer Entscheidung in den Sachen 5 c StVK 12/00, 14/00 und</w:t>
      </w:r>
    </w:p>
    <w:p>
      <w:r>
        <w:t xml:space="preserve">15/00, durch die sie die Bewährungszeit verlängerte. Da sie nur mit dieser Fra-</w:t>
      </w:r>
    </w:p>
    <w:p>
      <w:r>
        <w:t xml:space="preserve">ge befaßt war, hat sie "abschließend" im Rahmen der Zuständigkeitsregeln des</w:t>
      </w:r>
    </w:p>
    <w:p>
      <w:r>
        <w:t xml:space="preserve">§ 462 a StPO entschieden, als sie von einem Widerruf abgesehen und nur auf</w:t>
      </w:r>
    </w:p>
    <w:p>
      <w:r>
        <w:t xml:space="preserve">eine Verlängerung der Bewährungszeit erkannt hat (BGHR StPO § 462 a Abs.</w:t>
      </w:r>
    </w:p>
    <w:p>
      <w:r>
        <w:t xml:space="preserve">1 – Befaßtsein 7). Wegen des Konzentrationsprinzips des § 462 a Abs. 4 StPO</w:t>
      </w:r>
    </w:p>
    <w:p>
      <w:r>
        <w:t xml:space="preserve">ging die Zuständigkeit für alle weiteren aus der Strafaussetzung sich ergeben-</w:t>
      </w:r>
    </w:p>
    <w:p>
      <w:r>
        <w:t xml:space="preserve">den Maßnahmen auf die Strafvollstreckungskammer über, in deren Zuständig-</w:t>
      </w:r>
    </w:p>
    <w:p>
      <w:r>
        <w:t xml:space="preserve">keitsbereich die Verurteilte einsaß, also auf die Strafvollstreckungskammer des</w:t>
      </w:r>
    </w:p>
    <w:p>
      <w:r>
        <w:t xml:space="preserve">Landgerichts Hamburg.</w:t>
      </w:r>
    </w:p>
    <w:p>
      <w:r>
        <w:t xml:space="preserve">Anders verhält es sich mit der Sache 5 c StVK 13/00 Landgericht Lü-</w:t>
      </w:r>
    </w:p>
    <w:p>
      <w:r>
        <w:t xml:space="preserve">beck, die die Überwachung der mit Beschluß der Strafvollstreckungskammer</w:t>
      </w:r>
    </w:p>
    <w:p>
      <w:r>
        <w:t xml:space="preserve">des Landgerichts Lübeck vom 6. September 1995 angeordneten Führungsauf-</w:t>
      </w:r>
    </w:p>
    <w:p>
      <w:r>
        <w:t xml:space="preserve">sicht zum Gegenstand hat. Insoweit ist, wie die Verfügung des Einzelrichters</w:t>
      </w:r>
    </w:p>
    <w:p>
      <w:r>
        <w:t xml:space="preserve">der Strafvollstreckungskammer vom 5. Oktober 1999 (34 Js 414/87 = BewH</w:t>
      </w:r>
    </w:p>
    <w:p>
      <w:r>
        <w:t xml:space="preserve">früher 5 b StVK 75/94 jetzt 5 c 13/00 Landgericht Lübeck) zeigt, eine abschlie-</w:t>
      </w:r>
    </w:p>
    <w:p>
      <w:r>
        <w:t xml:space="preserve">ßende Entscheidung bisher nicht ergangen. Deshalb verbleibt es in dieser Sa-</w:t>
      </w:r>
    </w:p>
    <w:p>
      <w:r>
        <w:t xml:space="preserve">che bei der Zuständigkeit des Landgerichts Lübeck.</w:t>
      </w:r>
    </w:p>
    <w:p>
      <w:r>
        <w:t xml:space="preserve">Jähnke Detter Bode</w:t>
      </w:r>
    </w:p>
    <w:p>
      <w:r>
        <w:t xml:space="preserve">Otten Elf</w:t>
      </w:r>
    </w:p>
    <w:p>
      <w:r>
        <w:rPr>
          <w:color w:val="555555"/>
          <w:sz w:val="17"/>
        </w:rPr>
        <w:t xml:space="preserve">Zitiervorschlag: BGH, Beschluss vom 03.11.2000 – 2 ARs 285/00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https://recht.nulegal.eu/rechtsprechung/bgh/2000-11-03/2-ars-285-00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03.11.2000 – 2 ARs 285/00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