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BGH, Beschluss vom 23.08.2000 – 2 ARs 212/00</w:t>
      </w:r>
    </w:p>
    <w:p>
      <w:r>
        <w:rPr>
          <w:color w:val="555555"/>
          <w:sz w:val="18"/>
        </w:rPr>
        <w:t xml:space="preserve">2. Strafsenat</w:t>
      </w:r>
    </w:p>
    <w:p>
      <w:r>
        <w:t xml:space="preserve">BUNDESGERICHTSHOF</w:t>
      </w:r>
    </w:p>
    <w:p>
      <w:r>
        <w:t xml:space="preserve">2 ARs 212/00 2 AR 138/00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23. August 2000</w:t>
      </w:r>
    </w:p>
    <w:p>
      <w:r>
        <w:t xml:space="preserve">in der Vollstreckungssache</w:t>
      </w:r>
    </w:p>
    <w:p>
      <w:r>
        <w:t xml:space="preserve">gegen</w:t>
      </w:r>
    </w:p>
    <w:p>
      <w:r>
        <w:t xml:space="preserve">wegen Verstoßes gegen das Betäubungsmittelgesetz</w:t>
      </w:r>
    </w:p>
    <w:p>
      <w:r>
        <w:t xml:space="preserve">Az.: 583 Ls 194/97 Amtsgericht Köln</w:t>
      </w:r>
    </w:p>
    <w:p>
      <w:r>
        <w:t xml:space="preserve">Der 2. Strafsenat des Bundesgerichtshofs hat nach Anhörung des General-</w:t>
      </w:r>
    </w:p>
    <w:p>
      <w:r>
        <w:t xml:space="preserve">bundesanwalts am 23. August 2000 beschlossen:</w:t>
      </w:r>
    </w:p>
    <w:p>
      <w:r>
        <w:t xml:space="preserve">Die Sache wird an das Amtsgericht Koblenz zurückgegeben.</w:t>
      </w:r>
    </w:p>
    <w:p>
      <w:pPr>
        <w:pStyle w:val="Heading2"/>
      </w:pPr>
      <w:r>
        <w:t xml:space="preserve">Gründe</w:t>
      </w:r>
    </w:p>
    <w:p>
      <w:r>
        <w:t xml:space="preserve">Die Vorlegung ist unzulässig. Die Voraussetzungen für eine Zuständig-</w:t>
      </w:r>
    </w:p>
    <w:p>
      <w:r>
        <w:t xml:space="preserve">keitsbestimmung nach § 14 StPO liegen nicht vor. Das Amtsgericht Koblenz</w:t>
      </w:r>
    </w:p>
    <w:p>
      <w:r>
        <w:t xml:space="preserve">verkennt, daß kein Streit darüber besteht, welches Gericht für die Erteilung der</w:t>
      </w:r>
    </w:p>
    <w:p>
      <w:r>
        <w:t xml:space="preserve">nach § 36 Abs. 5 Satz 4 BtMG erforderlichen Belehrung zuständig ist. Streit</w:t>
      </w:r>
    </w:p>
    <w:p>
      <w:r>
        <w:t xml:space="preserve">besteht vielmehr darüber, ob das Amtsgericht Koblenz das auf Erteilung der</w:t>
      </w:r>
    </w:p>
    <w:p>
      <w:r>
        <w:t xml:space="preserve">Belehrung gerichtete Rechtshilfeersuchen des Amtsgerichts Köln ablehnen</w:t>
      </w:r>
    </w:p>
    <w:p>
      <w:r>
        <w:t xml:space="preserve">durfte. Darüber hat, sofern das vorlegende Gericht nicht von seiner offensicht-</w:t>
      </w:r>
    </w:p>
    <w:p>
      <w:r>
        <w:t xml:space="preserve">lichen unrichtigen Auffassung abrücken und dem Rechtshilfeersuchen stattge-</w:t>
      </w:r>
    </w:p>
    <w:p>
      <w:r>
        <w:t xml:space="preserve">ben sollte (§ 158 Abs. 1 GVG), das Oberlandesgericht Koblenz zu entscheiden</w:t>
      </w:r>
    </w:p>
    <w:p>
      <w:r>
        <w:t xml:space="preserve">(§ 159 Abs. 1 Satz 1 GVG).</w:t>
      </w:r>
    </w:p>
    <w:p>
      <w:r>
        <w:t xml:space="preserve">Jähnke Niemöller Otten</w:t>
      </w:r>
    </w:p>
    <w:p>
      <w:r>
        <w:t xml:space="preserve">Rothfuß Fischer</w:t>
      </w:r>
    </w:p>
    <w:p>
      <w:r>
        <w:rPr>
          <w:color w:val="555555"/>
          <w:sz w:val="17"/>
        </w:rPr>
        <w:t xml:space="preserve">Zitiervorschlag: BGH, Beschluss vom 23.08.2000 – 2 ARs 212/00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https://recht.nulegal.eu/rechtsprechung/bgh/2000-08-23/2-ars-212-00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Fassung. Maßgeblich ist die Fassung des Gerichts.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BGH, Beschluss vom 23.08.2000 – 2 ARs 212/00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