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02.08.2000 – 3 StR 218/00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2. August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3 StR 218/00</w:t>
      </w:r>
    </w:p>
    <w:p>
      <w:r>
        <w:t xml:space="preserve">1.</w:t>
      </w:r>
    </w:p>
    <w:p>
      <w:r>
        <w:t xml:space="preserve">2.</w:t>
      </w:r>
    </w:p>
    <w:p>
      <w:r>
        <w:t xml:space="preserve">3.</w:t>
      </w:r>
    </w:p>
    <w:p>
      <w:r>
        <w:t xml:space="preserve">4.</w:t>
      </w:r>
    </w:p>
    <w:p>
      <w:r>
        <w:t xml:space="preserve">wegen gewerbsmäßiger Bandenhehlerei u.a.;</w:t>
      </w:r>
    </w:p>
    <w:p>
      <w:r>
        <w:t xml:space="preserve">hier: Revision des Angeklagten N.</w:t>
      </w:r>
    </w:p>
    <w:p>
      <w:r>
        <w:t xml:space="preserve">Der 3. Strafsenat des Bundesgerichtshofs hat auf Antrag des Generalbun-</w:t>
      </w:r>
    </w:p>
    <w:p>
      <w:r>
        <w:t xml:space="preserve">desanwalts und nach Anhörung des Beschwerdeführers am 2. August 2000</w:t>
      </w:r>
    </w:p>
    <w:p>
      <w:r>
        <w:t xml:space="preserve">gemäß § 154 Abs. 2, § 349 Abs. 2 und 4, § 357 StPO einstimmig beschlos-</w:t>
      </w:r>
    </w:p>
    <w:p>
      <w:r>
        <w:t xml:space="preserve">sen:</w:t>
      </w:r>
    </w:p>
    <w:p>
      <w:r>
        <w:t xml:space="preserve">1. Auf die Revision des Angeklagten N. gegen das Urteil</w:t>
      </w:r>
    </w:p>
    <w:p>
      <w:r>
        <w:t xml:space="preserve">des Landgerichts Lübeck vom 1. Dezember 1999 wird</w:t>
      </w:r>
    </w:p>
    <w:p>
      <w:r>
        <w:t xml:space="preserve">a) das Verfahren gemäß § 154 Abs. 2 StPO vorläufig einge-</w:t>
      </w:r>
    </w:p>
    <w:p>
      <w:r>
        <w:t xml:space="preserve">stellt, soweit der Angeklagte N. in dem Fall II. 12 der</w:t>
      </w:r>
    </w:p>
    <w:p>
      <w:r>
        <w:t xml:space="preserve">Urteilsgründe wegen Bandenhehlerei (§ 260 a StGB) zu</w:t>
      </w:r>
    </w:p>
    <w:p>
      <w:r>
        <w:t xml:space="preserve">einer Freiheitsstrafe von einem Jahr und einer Geldstrafe</w:t>
      </w:r>
    </w:p>
    <w:p>
      <w:r>
        <w:t xml:space="preserve">von 50 Tagessätzen verurteilt worden ist;</w:t>
      </w:r>
    </w:p>
    <w:p>
      <w:r>
        <w:t xml:space="preserve">im Umfang der Einstellung fallen die Kosten des Verfah-</w:t>
      </w:r>
    </w:p>
    <w:p>
      <w:r>
        <w:t xml:space="preserve">rens und die notwendigen Auslagen des Angeklagten der</w:t>
      </w:r>
    </w:p>
    <w:p>
      <w:r>
        <w:t xml:space="preserve">Staatskasse zur Last;</w:t>
      </w:r>
    </w:p>
    <w:p>
      <w:r>
        <w:t xml:space="preserve">b) der Schuldspruch dahin geändert, daß</w:t>
      </w:r>
    </w:p>
    <w:p>
      <w:r>
        <w:t xml:space="preserve">- der Angeklagte N. wegen gewerbsmäßiger Banden-</w:t>
      </w:r>
    </w:p>
    <w:p>
      <w:r>
        <w:t xml:space="preserve">hehlerei in sechs Fällen, wegen gewerbsmäßiger Hehle-</w:t>
      </w:r>
    </w:p>
    <w:p>
      <w:r>
        <w:t xml:space="preserve">rei, wegen Hehlerei in zwei Fällen und wegen Diebstahls</w:t>
      </w:r>
    </w:p>
    <w:p>
      <w:r>
        <w:t xml:space="preserve">in drei Fällen,</w:t>
      </w:r>
    </w:p>
    <w:p>
      <w:r>
        <w:t xml:space="preserve">- die Mitangeklagten K. und H. im Fall II. 13</w:t>
      </w:r>
    </w:p>
    <w:p>
      <w:r>
        <w:t xml:space="preserve">der Urteilsgründe wegen gewerbsmäßiger Bandenhehle-</w:t>
      </w:r>
    </w:p>
    <w:p>
      <w:r>
        <w:t xml:space="preserve">rei statt wegen schweren Bandendiebstahls und</w:t>
      </w:r>
    </w:p>
    <w:p>
      <w:r>
        <w:t xml:space="preserve">- der Mitangeklagte J. im Fall II. 9 der Urteilsgründe</w:t>
      </w:r>
    </w:p>
    <w:p>
      <w:r>
        <w:t xml:space="preserve">wegen Diebstahls statt wegen schweren Bandendieb-</w:t>
      </w:r>
    </w:p>
    <w:p>
      <w:r>
        <w:t xml:space="preserve">stahls verurteilt ist,</w:t>
      </w:r>
    </w:p>
    <w:p>
      <w:r>
        <w:t xml:space="preserve">c) der Strafausspruch dahin geändert, daß</w:t>
      </w:r>
    </w:p>
    <w:p>
      <w:r>
        <w:t xml:space="preserve">- bei dem Angeklagten N. von den verhängten Einzel-</w:t>
      </w:r>
    </w:p>
    <w:p>
      <w:r>
        <w:t xml:space="preserve">strafen die für den Fall II. 12 entfällt und die für den Fall</w:t>
      </w:r>
    </w:p>
    <w:p>
      <w:r>
        <w:t xml:space="preserve">II. 9 auf neun Monate Freiheitsstrafe (statt einer Frei-</w:t>
      </w:r>
    </w:p>
    <w:p>
      <w:r>
        <w:t xml:space="preserve">heitsstrafe von einem Jahr und einer Geldstrafe von</w:t>
      </w:r>
    </w:p>
    <w:p>
      <w:r>
        <w:t xml:space="preserve">50 Tagessätzen) ermäßigt wird und</w:t>
      </w:r>
    </w:p>
    <w:p>
      <w:r>
        <w:t xml:space="preserve">- bei dem Mitangeklagten J. die im Fall II. 9 verhängte</w:t>
      </w:r>
    </w:p>
    <w:p>
      <w:r>
        <w:t xml:space="preserve">Einzelstrafe auf acht Monate Freiheitsstrafe (statt einer</w:t>
      </w:r>
    </w:p>
    <w:p>
      <w:r>
        <w:t xml:space="preserve">Freiheitsstrafe von einem Jahr und einer Geldstrafe von</w:t>
      </w:r>
    </w:p>
    <w:p>
      <w:r>
        <w:t xml:space="preserve">40 Tagessätzen) ermäßigt wird.</w:t>
      </w:r>
    </w:p>
    <w:p>
      <w:r>
        <w:t xml:space="preserve">2. Die weitergehende Revision wird verworfen.</w:t>
      </w:r>
    </w:p>
    <w:p>
      <w:r>
        <w:t xml:space="preserve">3. Der Beschwerdeführer hat die (verbleibenden) Kosten sei-</w:t>
      </w:r>
    </w:p>
    <w:p>
      <w:r>
        <w:t xml:space="preserve">nes Rechtsmittels zu tragen.</w:t>
      </w:r>
    </w:p>
    <w:p>
      <w:pPr>
        <w:pStyle w:val="Heading2"/>
      </w:pPr>
      <w:r>
        <w:t xml:space="preserve">Gründe</w:t>
      </w:r>
    </w:p>
    <w:p>
      <w:r>
        <w:t xml:space="preserve">1. Im Fall II. 12 hat der Senat das Verfahren auf Antrag des General-</w:t>
      </w:r>
    </w:p>
    <w:p>
      <w:r>
        <w:t xml:space="preserve">bundesanwalts nach § 154 Abs. 2 StPO eingestellt, weil der Verurteilung we-</w:t>
      </w:r>
    </w:p>
    <w:p>
      <w:r>
        <w:t xml:space="preserve">gen vollendeter gewerbsmäßiger Bandenhehlerei die Rechtsprechung des</w:t>
      </w:r>
    </w:p>
    <w:p>
      <w:r>
        <w:t xml:space="preserve">Bundesgerichtshofs (BGHSt 43, 110) entgegensteht, wonach beim Ankauf</w:t>
      </w:r>
    </w:p>
    <w:p>
      <w:r>
        <w:t xml:space="preserve">durch einen Lockspitzel der Polizei nur ein Versuch gegeben ist.</w:t>
      </w:r>
    </w:p>
    <w:p>
      <w:r>
        <w:t xml:space="preserve">2. Im Fall II. 9 rechtfertigen die Feststellungen nur eine Verurteilung we-</w:t>
      </w:r>
    </w:p>
    <w:p>
      <w:r>
        <w:t xml:space="preserve">gen Diebstahls nach §§ 242, 243 Abs. 1 Satz 1 Nr. 3 StGB. Insoweit sind die</w:t>
      </w:r>
    </w:p>
    <w:p>
      <w:r>
        <w:t xml:space="preserve">Voraussetzungen eines Bandendiebstahls (vgl. Tröndle/Fischer, StGB 49. Aufl.</w:t>
      </w:r>
    </w:p>
    <w:p>
      <w:r>
        <w:t xml:space="preserve">§ 244 Rdn. 13 ff.) nicht festgestellt. Der Senat hat daher den Schuldspruch</w:t>
      </w:r>
    </w:p>
    <w:p>
      <w:r>
        <w:t xml:space="preserve">entsprechend geändert und die Änderung auf den vom gleichen Rechtsfehler</w:t>
      </w:r>
    </w:p>
    <w:p>
      <w:r>
        <w:t xml:space="preserve">betroffenen Mitangeklagten J. gemäß § 357 StPO erstreckt.</w:t>
      </w:r>
    </w:p>
    <w:p>
      <w:r>
        <w:t xml:space="preserve">3. Im Fall II. 13 mußte der Schuldspruch von schwerem Bandendiebstahl</w:t>
      </w:r>
    </w:p>
    <w:p>
      <w:r>
        <w:t xml:space="preserve">auf gewerbsmäßige Bandenhehlerei nach § 260 a Abs. 1 StGB abgeändert</w:t>
      </w:r>
    </w:p>
    <w:p>
      <w:r>
        <w:t xml:space="preserve">werden, da nach den getroffenen Feststellungen kein fremder Gewahrsam ge-</w:t>
      </w:r>
    </w:p>
    <w:p>
      <w:r>
        <w:t xml:space="preserve">brochen worden und daher der Tatbestand des Diebstahls nicht erfüllt ist. Ob</w:t>
      </w:r>
    </w:p>
    <w:p>
      <w:r>
        <w:t xml:space="preserve">die Ladung eines Lkw im Alleingewahrsam des Lkw-Fahrers oder auch im Mit-</w:t>
      </w:r>
    </w:p>
    <w:p>
      <w:r>
        <w:t xml:space="preserve">gewahrsam des Frachtunternehmens steht, hängt von den tatsächlichen Ge-</w:t>
      </w:r>
    </w:p>
    <w:p>
      <w:r>
        <w:t xml:space="preserve">gebenheiten des Einzelfalls ab, insbesondere ob die Transportfirma in der La-</w:t>
      </w:r>
    </w:p>
    <w:p>
      <w:r>
        <w:t xml:space="preserve">ge ist, über die beförderte Ware die tatsächliche Sachherrschaft auszuüben</w:t>
      </w:r>
    </w:p>
    <w:p>
      <w:r>
        <w:t xml:space="preserve">(vgl. Eser in Schönke/Schröder, StGB 25. Aufl. § 242 Rdn. 33 m.w.Nachw.).</w:t>
      </w:r>
    </w:p>
    <w:p>
      <w:r>
        <w:t xml:space="preserve">Hier hatte der Lkw-Fahrer M. von seiner Firma den Auftrag erhalten, die</w:t>
      </w:r>
    </w:p>
    <w:p>
      <w:r>
        <w:t xml:space="preserve">Ware von Hamburg nach Berlin zu transportieren, ohne daß den Feststellun-</w:t>
      </w:r>
    </w:p>
    <w:p>
      <w:r>
        <w:t xml:space="preserve">gen irgendwelche Vorkehrungen der Transportfirma zur Ausübung einer tat-</w:t>
      </w:r>
    </w:p>
    <w:p>
      <w:r>
        <w:t xml:space="preserve">sächlichen Sachherrschaft über die Ladung während dieser Fernfahrt zu ent-</w:t>
      </w:r>
    </w:p>
    <w:p>
      <w:r>
        <w:t xml:space="preserve">nehmen wären. In solchen Fällen ist grundsätzlich vom Alleingewahrsam des</w:t>
      </w:r>
    </w:p>
    <w:p>
      <w:r>
        <w:t xml:space="preserve">Lkw-Fahrers auszugehen (vgl. BGHSt 2, 317, 318). Nach den Feststellungen</w:t>
      </w:r>
    </w:p>
    <w:p>
      <w:r>
        <w:t xml:space="preserve">haben sich die Angeklagten N. , K. und H. die von dem Lkw-</w:t>
      </w:r>
    </w:p>
    <w:p>
      <w:r>
        <w:t xml:space="preserve">Fahrer unterschlagene Ladung verschafft und hierdurch eine Hehlerei began-</w:t>
      </w:r>
    </w:p>
    <w:p>
      <w:r>
        <w:t xml:space="preserve">gen, die die Voraussetzungen des § 260 a Abs. 1 StGB erfüllt. Die Schuld-</w:t>
      </w:r>
    </w:p>
    <w:p>
      <w:r>
        <w:t xml:space="preserve">spruchänderung war nach § 357 StPO auf die Mitangeklagten K. und H.</w:t>
      </w:r>
    </w:p>
    <w:p>
      <w:r>
        <w:t xml:space="preserve">zu erstrecken. § 265 StPO steht den vorgenommenen Schuld-</w:t>
      </w:r>
    </w:p>
    <w:p>
      <w:r>
        <w:t xml:space="preserve">spruchänderungen nicht entgegen, da sich die geständigen Angeklagten nicht</w:t>
      </w:r>
    </w:p>
    <w:p>
      <w:r>
        <w:t xml:space="preserve">anders als geschehen hätten verteidigen können.</w:t>
      </w:r>
    </w:p>
    <w:p>
      <w:r>
        <w:t xml:space="preserve">4. Im übrigen hat die Nachprüfung des Urteils auf Grund der Revisions-</w:t>
      </w:r>
    </w:p>
    <w:p>
      <w:r>
        <w:t xml:space="preserve">rechtfertigung keinen Rechtsfehler zum Nachteil des Angeklagten ergeben.</w:t>
      </w:r>
    </w:p>
    <w:p>
      <w:r>
        <w:t xml:space="preserve">Die Teileinstellung nach § 154 Abs. 2 StPO im Fall II. 12 führt zum</w:t>
      </w:r>
    </w:p>
    <w:p>
      <w:r>
        <w:t xml:space="preserve">Wegfall der dafür verhängten Einzelstrafe von einem Jahr Freiheitsstrafe sowie</w:t>
      </w:r>
    </w:p>
    <w:p>
      <w:r>
        <w:t xml:space="preserve">der zusätzlich auferlegten Geldstrafe von 50 Tagessätzen. Im Fall II. 9 konnte</w:t>
      </w:r>
    </w:p>
    <w:p>
      <w:r>
        <w:t xml:space="preserve">der Senat die dafür verhängte Einzelstrafe bei dem Angeklagten N. von</w:t>
      </w:r>
    </w:p>
    <w:p>
      <w:r>
        <w:t xml:space="preserve">einem Jahr Freiheitsstrafe und einer Geldstrafe von 50 Tagessätzen auf neun</w:t>
      </w:r>
    </w:p>
    <w:p>
      <w:r>
        <w:t xml:space="preserve">Monate Freiheitsstrafe und beim Mitangeklagten J. von einem Jahr Frei-</w:t>
      </w:r>
    </w:p>
    <w:p>
      <w:r>
        <w:t xml:space="preserve">heitsstrafe und einer Geldstrafe von 40 Tagessätzen auf acht Monate Frei-</w:t>
      </w:r>
    </w:p>
    <w:p>
      <w:r>
        <w:t xml:space="preserve">heitsstrafe gemäß § 354 Abs. 1 StPO selbst ermäßigen. Da die Strafkammer in</w:t>
      </w:r>
    </w:p>
    <w:p>
      <w:r>
        <w:t xml:space="preserve">allen Fällen einer Verurteilung wegen Diebstahls nach §§ 242, 243 StGB bei</w:t>
      </w:r>
    </w:p>
    <w:p>
      <w:r>
        <w:t xml:space="preserve">den Angeklagten N. und J. jeweils gleich hohe Freiheitsstrafen von</w:t>
      </w:r>
    </w:p>
    <w:p>
      <w:r>
        <w:t xml:space="preserve">neun bzw. acht Monaten verhängt hat und der Fall II. 9 diesen Fällen nach den</w:t>
      </w:r>
    </w:p>
    <w:p>
      <w:r>
        <w:t xml:space="preserve">Umständen und der Beutehöhe entspricht, kann ausgeschlossen werden, daß</w:t>
      </w:r>
    </w:p>
    <w:p>
      <w:r>
        <w:t xml:space="preserve">sie im Fall II. 9 niedrigere Freiheitsstrafen als in den übrigen Fällen des Dieb-</w:t>
      </w:r>
    </w:p>
    <w:p>
      <w:r>
        <w:t xml:space="preserve">stahls verhängt hätte.</w:t>
      </w:r>
    </w:p>
    <w:p>
      <w:r>
        <w:t xml:space="preserve">Im Fall II. 13 läßt die Schuldspruchänderung die Höhe der insoweit ver-</w:t>
      </w:r>
    </w:p>
    <w:p>
      <w:r>
        <w:t xml:space="preserve">hängten Einzelstrafen unberührt, da der anzuwendende Strafrahmen gleich ist</w:t>
      </w:r>
    </w:p>
    <w:p>
      <w:r>
        <w:t xml:space="preserve">und die Änderung auch den Schuldgehalt der Tat nicht verringert hat.</w:t>
      </w:r>
    </w:p>
    <w:p>
      <w:r>
        <w:t xml:space="preserve">Der Wegfall der Einzelstrafe für den Fall II. 12 und die Ermäßigung im</w:t>
      </w:r>
    </w:p>
    <w:p>
      <w:r>
        <w:t xml:space="preserve">Fall II. 9 beim Angeklagten N. führt nicht zu einer Ermäßigung der Ge-</w:t>
      </w:r>
    </w:p>
    <w:p>
      <w:r>
        <w:t xml:space="preserve">samtfreiheitsstrafe von zwei Jahren (ausgesetzt zur Bewährung) und der zu-</w:t>
      </w:r>
    </w:p>
    <w:p>
      <w:r>
        <w:t xml:space="preserve">sätzlichen Gesamtgeldstrafe von 300 Tagessätzen. Angesichts der Höhe und</w:t>
      </w:r>
    </w:p>
    <w:p>
      <w:r>
        <w:t xml:space="preserve">Vielzahl der verbleibenden Einzelstrafen kann ausgeschlossen werden, daß</w:t>
      </w:r>
    </w:p>
    <w:p>
      <w:r>
        <w:t xml:space="preserve">die Strafkammer zu einer noch milderen Gesamtstrafe gelangt wäre. In Anbe-</w:t>
      </w:r>
    </w:p>
    <w:p>
      <w:r>
        <w:t xml:space="preserve">tracht der Schwere und Anzahl der begangenen Straftaten erscheint es ohne-</w:t>
      </w:r>
    </w:p>
    <w:p>
      <w:r>
        <w:t xml:space="preserve">hin als fraglich, ob die Gesamtstrafe noch ihrer Bestimmung, gerechter Schuld-</w:t>
      </w:r>
    </w:p>
    <w:p>
      <w:r>
        <w:t xml:space="preserve">ausgleich zu sein, genügt. Entsprechendes gilt auch für den Mitangeklagten</w:t>
      </w:r>
    </w:p>
    <w:p>
      <w:r>
        <w:t xml:space="preserve">J. .</w:t>
      </w:r>
    </w:p>
    <w:p>
      <w:r>
        <w:t xml:space="preserve">Wegen der Fassung der Urteilsformel weist der Senat darauf hin, daß</w:t>
      </w:r>
    </w:p>
    <w:p>
      <w:r>
        <w:t xml:space="preserve">nach § 260 Abs. 4 Satz 2 StPO die gesetzliche Überschrift verwendet werden</w:t>
      </w:r>
    </w:p>
    <w:p>
      <w:r>
        <w:t xml:space="preserve">soll. Insbesondere erscheint es verwirrend, wenn die gleichen Taten in der Ur-</w:t>
      </w:r>
    </w:p>
    <w:p>
      <w:r>
        <w:t xml:space="preserve">teilsformel und bei der rechtlichen Würdigung unterschiedlich bezeichnet wer-</w:t>
      </w:r>
    </w:p>
    <w:p>
      <w:r>
        <w:t xml:space="preserve">den. Strafschärfungsvorschriften wie § 243 StGB werden in der Urteilsformel</w:t>
      </w:r>
    </w:p>
    <w:p>
      <w:r>
        <w:t xml:space="preserve">nicht zum Ausdruck gebracht (vgl. Kleinknecht/Meyer-Goßner, StPO 45. Aufl.</w:t>
      </w:r>
    </w:p>
    <w:p>
      <w:r>
        <w:t xml:space="preserve">§ 260 Rdn. 25).</w:t>
      </w:r>
    </w:p>
    <w:p>
      <w:r>
        <w:t xml:space="preserve">Rissing-van Saan Miebach Winkler</w:t>
      </w:r>
    </w:p>
    <w:p>
      <w:r>
        <w:t xml:space="preserve">von Lienen Becker</w:t>
      </w:r>
    </w:p>
    <w:p>
      <w:r>
        <w:rPr>
          <w:color w:val="555555"/>
          <w:sz w:val="17"/>
        </w:rPr>
        <w:t xml:space="preserve">Zitiervorschlag: BGH, Beschluss vom 02.08.2000 – 3 StR 218/00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https://recht.nulegal.eu/rechtsprechung/bgh/2000-08-02/3-str-218-00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02.08.2000 – 3 StR 218/00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