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Beschluß vom 25.07.2000 – 4 StR 276/00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r>
        <w:t xml:space="preserve">4 StR 276/00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25. Juli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Handeltreibens mit Betäubungsmitteln in nicht geringer Menge u.a.</w:t>
      </w:r>
    </w:p>
    <w:p>
      <w:r>
        <w:t xml:space="preserve">Der 4. Strafsenat des Bundesgerichtshofs hat nach Anhörung des Generalbun-</w:t>
      </w:r>
    </w:p>
    <w:p>
      <w:r>
        <w:t xml:space="preserve">desanwalts und des Beschwerdeführers am 25. Juli 2000 beschlossen:</w:t>
      </w:r>
    </w:p>
    <w:p>
      <w:r>
        <w:t xml:space="preserve">Es wird festgestellt, daß die Revision des Angeklagten gegen</w:t>
      </w:r>
    </w:p>
    <w:p>
      <w:r>
        <w:t xml:space="preserve">das Urteil des Landgerichts Paderborn vom 28. März 2000 wirk-</w:t>
      </w:r>
    </w:p>
    <w:p>
      <w:r>
        <w:t xml:space="preserve">sam zurückgenommen worden ist.</w:t>
      </w:r>
    </w:p>
    <w:p>
      <w:r>
        <w:t xml:space="preserve">Der Angeklagte hat die Kosten des Rechtsmittels zu tragen.</w:t>
      </w:r>
    </w:p>
    <w:p>
      <w:pPr>
        <w:pStyle w:val="Heading2"/>
      </w:pPr>
      <w:r>
        <w:t xml:space="preserve">Gründe</w:t>
      </w:r>
    </w:p>
    <w:p>
      <w:r>
        <w:t xml:space="preserve">1. Der Angeklagte selbst und sein Pflichtverteidiger haben gegen das</w:t>
      </w:r>
    </w:p>
    <w:p>
      <w:r>
        <w:t xml:space="preserve">Urteil des Landgerichts Paderborn vom 28. März 2000 Revision eingelegt; so-</w:t>
      </w:r>
    </w:p>
    <w:p>
      <w:r>
        <w:t xml:space="preserve">wohl der Pflichtverteidiger als auch der nach der Urteilsverkündung beauftragte</w:t>
      </w:r>
    </w:p>
    <w:p>
      <w:r>
        <w:t xml:space="preserve">Wahlverteidiger haben das Rechtsmittel begründet. Mit seinem am 20. Juni</w:t>
      </w:r>
    </w:p>
    <w:p>
      <w:r>
        <w:t xml:space="preserve">2000 beim Landgericht eingegangenen eigenhändigen Schreiben vom 18. Juni</w:t>
      </w:r>
    </w:p>
    <w:p>
      <w:r>
        <w:t xml:space="preserve">2000 hat der Angeklagte erklärt: "Hiermit nehme ich meine Revision zurück". In</w:t>
      </w:r>
    </w:p>
    <w:p>
      <w:r>
        <w:t xml:space="preserve">einem weiteren Schreiben vom 23. Juni 2000 hat er die Rechtsmittelrücknahme</w:t>
      </w:r>
    </w:p>
    <w:p>
      <w:r>
        <w:t xml:space="preserve">widerrufen.</w:t>
      </w:r>
    </w:p>
    <w:p>
      <w:r>
        <w:t xml:space="preserve">2. Der Angeklagte hat die Revision am 20. Juni 2000 wirksam zurückge-</w:t>
      </w:r>
    </w:p>
    <w:p>
      <w:r>
        <w:t xml:space="preserve">nommen (§ 302 Abs. 1 Satz 1 StPO). Die Erklärung wahrt die für die Zurück-</w:t>
      </w:r>
    </w:p>
    <w:p>
      <w:r>
        <w:t xml:space="preserve">nahme des Rechtsmittels erforderliche Form (vgl. Kleinknecht/Meyer-Goßner</w:t>
      </w:r>
    </w:p>
    <w:p>
      <w:r>
        <w:t xml:space="preserve">StPO 44. Aufl. § 302 Rdn. 7). Es liegen keine Anhaltspunkte dafür vor, daß die</w:t>
      </w:r>
    </w:p>
    <w:p>
      <w:r>
        <w:t xml:space="preserve">Rücknahme auf eine unlautere Einwirkung durch Organe der Justiz zurückzu-</w:t>
      </w:r>
    </w:p>
    <w:p>
      <w:r>
        <w:t xml:space="preserve">führen sein könnte. Der Hinweis des Angeklagten in seinem Schreiben vom</w:t>
      </w:r>
    </w:p>
    <w:p>
      <w:r>
        <w:t xml:space="preserve">7. Juli 2000 an den Generalbundesanwalt auf "den Druck von den Beamten"</w:t>
      </w:r>
    </w:p>
    <w:p>
      <w:r>
        <w:t xml:space="preserve">(der Justizvollzugsanstalt) ist unsubstantiiert; aus den weiteren Ausführungen</w:t>
      </w:r>
    </w:p>
    <w:p>
      <w:r>
        <w:t xml:space="preserve">ergibt sich zudem, daß der Angeklagte nicht behaupten will, er sei gerade zur</w:t>
      </w:r>
    </w:p>
    <w:p>
      <w:r>
        <w:t xml:space="preserve">Abgabe der Rücknahmeerklärung gezwungen worden.</w:t>
      </w:r>
    </w:p>
    <w:p>
      <w:r>
        <w:t xml:space="preserve">Die Zurücknahme eines Rechtsmittels setzt allerdings Verhandlungsfä-</w:t>
      </w:r>
    </w:p>
    <w:p>
      <w:r>
        <w:t xml:space="preserve">higkeit des Erklärenden voraus. Ob er verhandlungsfähig war, ist vom Revisi-</w:t>
      </w:r>
    </w:p>
    <w:p>
      <w:r>
        <w:t xml:space="preserve">onsgericht im Freibeweisverfahren zu klären (BGH NStZ 1983, 280; bei Pfeif-</w:t>
      </w:r>
    </w:p>
    <w:p>
      <w:r>
        <w:t xml:space="preserve">fer/Miebach NStZ 1985, 207; bei Kusch NStZ 1992, 29; 1997, 378; Klein-</w:t>
      </w:r>
    </w:p>
    <w:p>
      <w:r>
        <w:t xml:space="preserve">knecht/Meyer-Goßner aaO § 302 Rdn. 3, 8a). Die Verhandlungsfähigkeit ist</w:t>
      </w:r>
    </w:p>
    <w:p>
      <w:r>
        <w:t xml:space="preserve">hier indes zu bejahen:</w:t>
      </w:r>
    </w:p>
    <w:p>
      <w:r>
        <w:t xml:space="preserve">Es sind keine Anhaltspunkte dafür ersichtlich, daß dem Angeklagten im</w:t>
      </w:r>
    </w:p>
    <w:p>
      <w:r>
        <w:t xml:space="preserve">Hinblick auf seinen geistigen Zustand die genügende Einsichtsfähigkeit für sei-</w:t>
      </w:r>
    </w:p>
    <w:p>
      <w:r>
        <w:t xml:space="preserve">ne Prozeßhandlung und deren Tragweite gefehlt hätte. Das Landgericht ist in</w:t>
      </w:r>
    </w:p>
    <w:p>
      <w:r>
        <w:t xml:space="preserve">dem angefochtenen Urteil vielmehr von der uneingeschränkten strafrechtlichen</w:t>
      </w:r>
    </w:p>
    <w:p>
      <w:r>
        <w:t xml:space="preserve">Schuldfähigkeit des Angeklagten ausgegangen. Die Rücknahmeerklärung ist</w:t>
      </w:r>
    </w:p>
    <w:p>
      <w:r>
        <w:t xml:space="preserve">eindeutig; der Angeklagte hat sie in einem Begleitschreiben mit den Worten ”...</w:t>
      </w:r>
    </w:p>
    <w:p>
      <w:r>
        <w:t xml:space="preserve">ich fühle mich schuldig, ich habe meine Strafe verdient” klar und verständlich</w:t>
      </w:r>
    </w:p>
    <w:p>
      <w:r>
        <w:t xml:space="preserve">begründet. Hinzu kommt, daß ihm am Eintritt der Rechtskraft sogar gelegen</w:t>
      </w:r>
    </w:p>
    <w:p>
      <w:r>
        <w:t xml:space="preserve">war; in weiteren, zeitgleich mit der Rücknahme des Rechtsmittels eingegange-</w:t>
      </w:r>
    </w:p>
    <w:p>
      <w:r>
        <w:t xml:space="preserve">nen schriftlichen Äußerungen sowie in seinen Schreiben vom 5. und 7. Juli</w:t>
      </w:r>
    </w:p>
    <w:p>
      <w:r>
        <w:t xml:space="preserve">2000 hat der Angeklagte nämlich wiederholt hervorgehoben, seine Entschei-</w:t>
      </w:r>
    </w:p>
    <w:p>
      <w:r>
        <w:t xml:space="preserve">dung, die Revision zurückzunehmen, hätte auf seiner Erwartung beruht, so-</w:t>
      </w:r>
    </w:p>
    <w:p>
      <w:r>
        <w:t xml:space="preserve">dann aus der Untersuchungshaftanstalt in ein anderes Gefängnis verlegt zu</w:t>
      </w:r>
    </w:p>
    <w:p>
      <w:r>
        <w:t xml:space="preserve">werden. Unter diesen Umständen vermag seine in den beiden Schreiben vom</w:t>
      </w:r>
    </w:p>
    <w:p>
      <w:r>
        <w:t xml:space="preserve">5. Juli 2000 aufgestellte Behauptung, er habe bei Abgabe der Rücknahmeer-</w:t>
      </w:r>
    </w:p>
    <w:p>
      <w:r>
        <w:t xml:space="preserve">klärung Depressionen gehabt, keine Zweifel an seiner Verhandlungsfähigkeit</w:t>
      </w:r>
    </w:p>
    <w:p>
      <w:r>
        <w:t xml:space="preserve">zu begründen (vgl. BGH, Beschluß vom 13. Oktober 1992 – 4 StR 433/92).</w:t>
      </w:r>
    </w:p>
    <w:p>
      <w:r>
        <w:t xml:space="preserve">Soweit der Angeklagte in seinen Schreiben vom 23. Juni 2000 sowie vom 5., 7.</w:t>
      </w:r>
    </w:p>
    <w:p>
      <w:r>
        <w:t xml:space="preserve">und 12. Juli 2000 darüber hinaus geltend macht, er sei damals verzweifelt ge-</w:t>
      </w:r>
    </w:p>
    <w:p>
      <w:r>
        <w:t xml:space="preserve">wesen und habe "unter psychischen Störungen und Angstzuständen und seeli-</w:t>
      </w:r>
    </w:p>
    <w:p>
      <w:r>
        <w:t xml:space="preserve">sche(n) Grausamkeiten" gelitten, kann der Senat diesen nicht näher substanti-</w:t>
      </w:r>
    </w:p>
    <w:p>
      <w:r>
        <w:t xml:space="preserve">ierten Ausführungen ebenfalls keine konkreten Anhaltspunkte für eine Ver-</w:t>
      </w:r>
    </w:p>
    <w:p>
      <w:r>
        <w:t xml:space="preserve">handlungsunfähigkeit entnehmen. Das allgemein gehaltene Vorbringen des</w:t>
      </w:r>
    </w:p>
    <w:p>
      <w:r>
        <w:t xml:space="preserve">Angeklagten bietet daher keine Grundlage für weitere freibeweisliche Ermitt-</w:t>
      </w:r>
    </w:p>
    <w:p>
      <w:r>
        <w:t xml:space="preserve">lungen des Revisionsgerichts.</w:t>
      </w:r>
    </w:p>
    <w:p>
      <w:r>
        <w:t xml:space="preserve">Die demnach wirksame Rücknahmeerklärung des Angeklagten, die sich</w:t>
      </w:r>
    </w:p>
    <w:p>
      <w:r>
        <w:t xml:space="preserve">auch auf das Rechtsmittel des Verteidigers erstreckt (vgl. BGH bei</w:t>
      </w:r>
    </w:p>
    <w:p>
      <w:r>
        <w:t xml:space="preserve">Pfeiffer/Miebach NStZ 1985, 207; BGHR StPO § 302 Abs. 1 Satz 1 Rechtsmit-</w:t>
      </w:r>
    </w:p>
    <w:p>
      <w:r>
        <w:t xml:space="preserve">telverzicht 7; Kleinknecht/Meyer-Goßner aaO § 302 Rdn. 4 m.w.N.), hat zum</w:t>
      </w:r>
    </w:p>
    <w:p>
      <w:r>
        <w:t xml:space="preserve">Verlust des Rechtsmittels geführt (vgl. Ruß in KK/StPO 4. Aufl. § 302 Rdn. 14).</w:t>
      </w:r>
    </w:p>
    <w:p>
      <w:r>
        <w:t xml:space="preserve">Sie kann als Prozeßhandlung nicht widerrufen oder wegen Irrtums angefochten</w:t>
      </w:r>
    </w:p>
    <w:p>
      <w:r>
        <w:t xml:space="preserve">werden (BGHSt 10, 245, 247; BGHR StPO § 302 Abs. 1 Rücknahme 2; BGHR</w:t>
      </w:r>
    </w:p>
    <w:p>
      <w:r>
        <w:t xml:space="preserve">StPO § 302 Abs. 2 Rücknahme 6); die späteren Erklärungen des Angeklagten,</w:t>
      </w:r>
    </w:p>
    <w:p>
      <w:r>
        <w:t xml:space="preserve">insbesondere der Widerruf im Schreiben vom 23. Juni 2000, vermögen somit</w:t>
      </w:r>
    </w:p>
    <w:p>
      <w:r>
        <w:t xml:space="preserve">an ihrer Rechtswirksamkeit nichts mehr zu ändern (vgl. BGH bei Kusch NStZ</w:t>
      </w:r>
    </w:p>
    <w:p>
      <w:r>
        <w:t xml:space="preserve">1997, 378).</w:t>
      </w:r>
    </w:p>
    <w:p>
      <w:r>
        <w:t xml:space="preserve">3. Da der Angeklagte die Wirksamkeit der Revisionsrücknahme in</w:t>
      </w:r>
    </w:p>
    <w:p>
      <w:r>
        <w:t xml:space="preserve">Zweifel zieht, stellt der Senat die eingetretene Rechtsfolge förmlich fest.</w:t>
      </w:r>
    </w:p>
    <w:p>
      <w:r>
        <w:t xml:space="preserve">Die Kostenentscheidung folgt aus § 473 Abs. 1 Satz 1 StPO.</w:t>
      </w:r>
    </w:p>
    <w:p>
      <w:r>
        <w:t xml:space="preserve">Meyer-Goßner Maatz Kuckein</w:t>
      </w:r>
    </w:p>
    <w:p>
      <w:r>
        <w:t xml:space="preserve">Athing</w:t>
      </w:r>
    </w:p>
    <w:p>
      <w:r>
        <w:t xml:space="preserve">(cid:0)(cid:2)(cid:1)(cid:4)(cid:3)(cid:6)(cid:5)(cid:8)(cid:7)(cid:10)(cid:9)(cid:11)(cid:0)(cid:13)(cid:12)(cid:14)(cid:1)(cid:16)(cid:15)(cid:18)(cid:17)(cid:19)(cid:7)(cid:10)(cid:1)(cid:21)(cid:20)(cid:22)(cid:5)(cid:24)(cid:23)</w:t>
      </w:r>
    </w:p>
    <w:p>
      <w:r>
        <w:rPr>
          <w:color w:val="555555"/>
          <w:sz w:val="17"/>
        </w:rPr>
        <w:t xml:space="preserve">Zitiervorschlag: BGH, Beschluß vom 25.07.2000 – 4 StR 276/00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https://recht.nulegal.eu/rechtsprechung/bgh/2000-07-25/4-str-276-00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