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Urteile vom 05.07.2000 – RiZ (R) 6/99</w:t>
      </w:r>
    </w:p>
    <w:p>
      <w:r>
        <w:rPr>
          <w:color w:val="555555"/>
          <w:sz w:val="18"/>
        </w:rPr>
        <w:t xml:space="preserve">Dienstgericht des Bundes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RiZ (R) 6/99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5. Juli 2000</w:t>
      </w:r>
    </w:p>
    <w:p>
      <w:r>
        <w:t xml:space="preserve">in dem Prüfungsverfahren</w:t>
      </w:r>
    </w:p>
    <w:p>
      <w:r>
        <w:t xml:space="preserve">Antragsteller und Revisionskläger,</w:t>
      </w:r>
    </w:p>
    <w:p>
      <w:r>
        <w:t xml:space="preserve">gegen</w:t>
      </w:r>
    </w:p>
    <w:p>
      <w:r>
        <w:t xml:space="preserve">Antragsgegner und Revisionsbeklagter,</w:t>
      </w:r>
    </w:p>
    <w:p>
      <w:r>
        <w:t xml:space="preserve">wegen Anfechtung einer Maßnahme der Dienstaufsicht</w:t>
      </w:r>
    </w:p>
    <w:p>
      <w:r>
        <w:t xml:space="preserve">Der Bundesgerichtshof - Dienstgericht des Bundes - hat am 5. Juli 2000 ohne</w:t>
      </w:r>
    </w:p>
    <w:p>
      <w:r>
        <w:t xml:space="preserve">mündliche Verhandlung durch den Vorsitzenden Richter am Bundesgerichtshof</w:t>
      </w:r>
    </w:p>
    <w:p>
      <w:r>
        <w:t xml:space="preserve">Prof. Dr. Erdmann, die Richter am Bundesgerichtshof Dr. Siol, Dr. Boetticher</w:t>
      </w:r>
    </w:p>
    <w:p>
      <w:r>
        <w:t xml:space="preserve">und Seiffert und die Richterin am Bundesgerichtshof Solin (cid:0)</w:t>
      </w:r>
    </w:p>
    <w:p>
      <w:r>
        <w:t xml:space="preserve">(cid:1)(cid:3)(cid:2)(cid:5)(cid:4)(cid:7)(cid:6)(cid:9)(cid:8)(cid:11)(cid:10)(cid:12)(cid:4)(cid:14)(cid:13)(cid:16)(cid:15)</w:t>
      </w:r>
    </w:p>
    <w:p>
      <w:r>
        <w:t xml:space="preserve">für Recht erkannt:</w:t>
      </w:r>
    </w:p>
    <w:p>
      <w:r>
        <w:t xml:space="preserve">Die Revision des Antragstellers gegen das Urteil des Bayerischen</w:t>
      </w:r>
    </w:p>
    <w:p>
      <w:r>
        <w:t xml:space="preserve">Dienstgerichts für Richter in München vom 6. September 1999</w:t>
      </w:r>
    </w:p>
    <w:p>
      <w:r>
        <w:t xml:space="preserve">wird zurückgewiesen.</w:t>
      </w:r>
    </w:p>
    <w:p>
      <w:r>
        <w:t xml:space="preserve">Der Antragsteller hat die Kosten seines Rechtsmittels zu tragen.</w:t>
      </w:r>
    </w:p>
    <w:p>
      <w:r>
        <w:t xml:space="preserve">Von Rechts wegen</w:t>
      </w:r>
    </w:p>
    <w:p>
      <w:pPr>
        <w:pStyle w:val="Heading2"/>
      </w:pPr>
      <w:r>
        <w:t xml:space="preserve">Tatbestand</w:t>
      </w:r>
    </w:p>
    <w:p>
      <w:r>
        <w:t xml:space="preserve">Der Antragsteller war in der Zeit vom 1. Oktober 1977 bis zum 31. De-</w:t>
      </w:r>
    </w:p>
    <w:p>
      <w:r>
        <w:t xml:space="preserve">zember 1979 als Staatsanwalt bei der Staatsanwaltschaft M. tätig. Seit</w:t>
      </w:r>
    </w:p>
    <w:p>
      <w:r>
        <w:t xml:space="preserve">dem 15. Juli 1985 ist er als Richter am Amtsgericht München mit Strafsachen</w:t>
      </w:r>
    </w:p>
    <w:p>
      <w:r>
        <w:t xml:space="preserve">befaßt.</w:t>
      </w:r>
    </w:p>
    <w:p>
      <w:r>
        <w:t xml:space="preserve">Am 11. September 1997 erließ der Antragsteller in dem bei seiner Ab-</w:t>
      </w:r>
    </w:p>
    <w:p>
      <w:r>
        <w:t xml:space="preserve">teilung anhängigen Strafverfahren Ds /97 gegen den An-</w:t>
      </w:r>
    </w:p>
    <w:p>
      <w:r>
        <w:t xml:space="preserve">geklagten einen Haftbefehl. Der Angeklagte wurde aufgrund dieses Haftbefehls</w:t>
      </w:r>
    </w:p>
    <w:p>
      <w:r>
        <w:t xml:space="preserve">am 22. September 1997 festgenommen und beantragte am selben Tage münd-</w:t>
      </w:r>
    </w:p>
    <w:p>
      <w:r>
        <w:t xml:space="preserve">(cid:17)</w:t>
      </w:r>
    </w:p>
    <w:p>
      <w:r>
        <w:t xml:space="preserve">liche Haftprüfung. Diese wurde am 30. September 1997 vom Antragsteller</w:t>
      </w:r>
    </w:p>
    <w:p>
      <w:r>
        <w:t xml:space="preserve">durchgeführt, der Haftfortdauer anordnete.</w:t>
      </w:r>
    </w:p>
    <w:p>
      <w:r>
        <w:t xml:space="preserve">Aufgrund der Hauptverhandlung vom 4. November 1997 verurteilte der</w:t>
      </w:r>
    </w:p>
    <w:p>
      <w:r>
        <w:t xml:space="preserve">Antragsteller den Angeklagten wegen vorsätzlicher Körperverletzung in Tatein-</w:t>
      </w:r>
    </w:p>
    <w:p>
      <w:r>
        <w:t xml:space="preserve">heit mit Bedrohung zu einer Freiheitsstrafe von vier Monaten, deren Voll-</w:t>
      </w:r>
    </w:p>
    <w:p>
      <w:r>
        <w:t xml:space="preserve">streckung nicht zur Bewährung ausgesetzt wurde; gleichzeitig ordnete er Haft-</w:t>
      </w:r>
    </w:p>
    <w:p>
      <w:r>
        <w:t xml:space="preserve">fortdauer an.</w:t>
      </w:r>
    </w:p>
    <w:p>
      <w:r>
        <w:t xml:space="preserve">Gegen dieses Urteil legten sowohl die Staatsanwaltschaft als auch der</w:t>
      </w:r>
    </w:p>
    <w:p>
      <w:r>
        <w:t xml:space="preserve">- nicht durch einen Rechtskundigen verteidigte - Angeklagte Berufung ein.</w:t>
      </w:r>
    </w:p>
    <w:p>
      <w:r>
        <w:t xml:space="preserve">Letzterer beantragte in seiner Berufungsschrift vom 5. November 1997, die am</w:t>
      </w:r>
    </w:p>
    <w:p>
      <w:r>
        <w:t xml:space="preserve">7. November 1997 bei Gericht einging und am 11. November 1997 vom An-</w:t>
      </w:r>
    </w:p>
    <w:p>
      <w:r>
        <w:t xml:space="preserve">tragsteller zur Kenntnis genommen wurde, zugleich die Aufhebung des Haft-</w:t>
      </w:r>
    </w:p>
    <w:p>
      <w:r>
        <w:t xml:space="preserve">befehls.</w:t>
      </w:r>
    </w:p>
    <w:p>
      <w:r>
        <w:t xml:space="preserve">Über diesen Antrag wurde erst nach mehr als zwei Monaten entschie-</w:t>
      </w:r>
    </w:p>
    <w:p>
      <w:r>
        <w:t xml:space="preserve">den, nachdem sich der Angeklagte mit Schreiben vom 12. Januar 1998 an das</w:t>
      </w:r>
    </w:p>
    <w:p>
      <w:r>
        <w:t xml:space="preserve">Landgericht M. gewandt hatte, bei dem die nicht als Haftsache ge-</w:t>
      </w:r>
    </w:p>
    <w:p>
      <w:r>
        <w:t xml:space="preserve">kennzeichneten Akten mit dem vom Antragsteller nicht unterschriebenen Urteil</w:t>
      </w:r>
    </w:p>
    <w:p>
      <w:r>
        <w:t xml:space="preserve">am 30. Dezember 1997 eingegangen waren. In diesem Schreiben wies der An-</w:t>
      </w:r>
    </w:p>
    <w:p>
      <w:r>
        <w:t xml:space="preserve">geklagte darauf hin, daß die vom Amtsgericht M. verhängte Freiheits-</w:t>
      </w:r>
    </w:p>
    <w:p>
      <w:r>
        <w:t xml:space="preserve">strafe am 21. Januar 1998 in vollem Umfang verbüßt sein wird. Das Landge-</w:t>
      </w:r>
    </w:p>
    <w:p>
      <w:r>
        <w:t xml:space="preserve">richt hob daraufhin den Haftbefehl am 16. Januar 1998 auf und ordnete die</w:t>
      </w:r>
    </w:p>
    <w:p>
      <w:r>
        <w:t xml:space="preserve">Entlassung des Angeklagten an. In der Berufungshauptverhandlung wurden</w:t>
      </w:r>
    </w:p>
    <w:p>
      <w:r>
        <w:t xml:space="preserve">beide Berufungen zurückgenommen.</w:t>
      </w:r>
    </w:p>
    <w:p>
      <w:r>
        <w:t xml:space="preserve">Der Präsident des Amtsgerichts M. hielt dem Antragsteller mit</w:t>
      </w:r>
    </w:p>
    <w:p>
      <w:r>
        <w:t xml:space="preserve">Schreiben vom 27. August 1998 gemäß § 26 DRiG vor, daß er die Unterlas-</w:t>
      </w:r>
    </w:p>
    <w:p>
      <w:r>
        <w:t xml:space="preserve">sung einer alsbaldigen Vorlage des Antrags auf Aufhebung des Haftbefehls an</w:t>
      </w:r>
    </w:p>
    <w:p>
      <w:r>
        <w:t xml:space="preserve">das vom Antragsteller für zuständig angesehene Landgericht als ordnungswid-</w:t>
      </w:r>
    </w:p>
    <w:p>
      <w:r>
        <w:t xml:space="preserve">rige Art der Ausführung eines Amtsgeschäfts erachte. Dabei legte er seiner</w:t>
      </w:r>
    </w:p>
    <w:p>
      <w:r>
        <w:t xml:space="preserve">Prüfung im Hinblick auf den Grundsatz richterlicher Unabhängigkeit die</w:t>
      </w:r>
    </w:p>
    <w:p>
      <w:r>
        <w:t xml:space="preserve">Rechtsauffassung des Antragstellers zugrunde, wonach die Entscheidung über</w:t>
      </w:r>
    </w:p>
    <w:p>
      <w:r>
        <w:t xml:space="preserve">den Haftaufhebungsantrag vom Berufungsgericht zu treffen sei, welches aller-</w:t>
      </w:r>
    </w:p>
    <w:p>
      <w:r>
        <w:t xml:space="preserve">dings erst mit Eingang der Akten bei ihm dafür zuständig werde.</w:t>
      </w:r>
    </w:p>
    <w:p>
      <w:r>
        <w:t xml:space="preserve">Nach erfolglosem Widerspruch gegen diesen Vorhalt hat der Antrag-</w:t>
      </w:r>
    </w:p>
    <w:p>
      <w:r>
        <w:t xml:space="preserve">steller das Bayerische Dienstgericht für Richter in München angerufen und die</w:t>
      </w:r>
    </w:p>
    <w:p>
      <w:r>
        <w:t xml:space="preserve">Feststellung beantragt, daß der Vorhalt in dem Bescheid vom 27. August 1998</w:t>
      </w:r>
    </w:p>
    <w:p>
      <w:r>
        <w:t xml:space="preserve">eine seine richterliche Unabhängigkeit beeinträchtigende Maßnahme der</w:t>
      </w:r>
    </w:p>
    <w:p>
      <w:r>
        <w:t xml:space="preserve">Dienstaufsicht darstelle und deswegen unzulässig sei.</w:t>
      </w:r>
    </w:p>
    <w:p>
      <w:r>
        <w:t xml:space="preserve">Diesen Antrag hat das Dienstgericht durch Urteil vom 6. September</w:t>
      </w:r>
    </w:p>
    <w:p>
      <w:r>
        <w:t xml:space="preserve">1999 zurückgewiesen. Zur Begründung hat es ausgeführt: Der vom Präsiden-</w:t>
      </w:r>
    </w:p>
    <w:p>
      <w:r>
        <w:t xml:space="preserve">ten des Amtsgerichts ausgesprochene Vorhalt beziehe sich ausschließlich dar-</w:t>
      </w:r>
    </w:p>
    <w:p>
      <w:r>
        <w:t xml:space="preserve">auf, daß der Antragsteller die alsbaldige Vorlage des Antrags auf Aufhebung</w:t>
      </w:r>
    </w:p>
    <w:p>
      <w:r>
        <w:t xml:space="preserve">des Haftbefehls beim Landgericht nicht veranlaßt habe. Daher betreffe der</w:t>
      </w:r>
    </w:p>
    <w:p>
      <w:r>
        <w:t xml:space="preserve">Vorhalt nicht den grundsätzlich einer dienstaufsichtlichen Maßnahme entzoge-</w:t>
      </w:r>
    </w:p>
    <w:p>
      <w:r>
        <w:t xml:space="preserve">nen Kernbereich richterlicher Tätigkeit, sondern den Bereich der äußeren Ord-</w:t>
      </w:r>
    </w:p>
    <w:p>
      <w:r>
        <w:t xml:space="preserve">nung, in dem nach § 26 Abs. 2 DRiG Vorhalte des Dienstvorgesetzten zulässig</w:t>
      </w:r>
    </w:p>
    <w:p>
      <w:r>
        <w:t xml:space="preserve">seien. Der Vorhalt sei auch sachlich gerechtfertigt, da der Antragsteller, dem</w:t>
      </w:r>
    </w:p>
    <w:p>
      <w:r>
        <w:t xml:space="preserve">ihm aus langjähriger Tätigkeit als Staatsanwalt und Strafrichter bekannten Be-</w:t>
      </w:r>
    </w:p>
    <w:p>
      <w:r>
        <w:t xml:space="preserve">schleunigungsgebot in Haftsachen zuwiderhandelnd, nichts getan habe, um</w:t>
      </w:r>
    </w:p>
    <w:p>
      <w:r>
        <w:t xml:space="preserve">den Haftentlassungsantrag vom 5. November 1997 beschleunigt einer Ent-</w:t>
      </w:r>
    </w:p>
    <w:p>
      <w:r>
        <w:t xml:space="preserve">scheidung durch das Landgericht zuzuführen, wie es seine Pflicht gewesen</w:t>
      </w:r>
    </w:p>
    <w:p>
      <w:r>
        <w:t xml:space="preserve">wäre. Wegen der Einzelheiten der Begründung wird auf die Entscheidungs-</w:t>
      </w:r>
    </w:p>
    <w:p>
      <w:r>
        <w:t xml:space="preserve">gründe des angefochtenen Urteils verwiesen.</w:t>
      </w:r>
    </w:p>
    <w:p>
      <w:r>
        <w:t xml:space="preserve">Mit seiner Revision verfolgt der Antragsteller sein Begehren weiter. Er</w:t>
      </w:r>
    </w:p>
    <w:p>
      <w:r>
        <w:t xml:space="preserve">wendet sich gegen die Ansicht des Dienstgerichts, wonach der Vorhalt sich</w:t>
      </w:r>
    </w:p>
    <w:p>
      <w:r>
        <w:t xml:space="preserve">nicht auf den Kernbereich richterlicher Amtstätigkeit beziehe. Der Vorhalt sei</w:t>
      </w:r>
    </w:p>
    <w:p>
      <w:r>
        <w:t xml:space="preserve">auch sachlich nicht gerechtfertigt, da er die Vorlage der Berufung mit größt-</w:t>
      </w:r>
    </w:p>
    <w:p>
      <w:r>
        <w:t xml:space="preserve">möglicher Beschleunigung gefördert habe. Im übrigen ist der Antragsteller der</w:t>
      </w:r>
    </w:p>
    <w:p>
      <w:r>
        <w:t xml:space="preserve">Meinung, daß durch seine Art der Sachbehandlung keine Lücke im durchgän-</w:t>
      </w:r>
    </w:p>
    <w:p>
      <w:r>
        <w:t xml:space="preserve">gig zu gewährenden Rechtsschutz in Haftsachen entstanden sei, da bis zur</w:t>
      </w:r>
    </w:p>
    <w:p>
      <w:r>
        <w:t xml:space="preserve">Begründung der Zuständigkeit des Landgerichts die Haftkontrolle beim Amts-</w:t>
      </w:r>
    </w:p>
    <w:p>
      <w:r>
        <w:t xml:space="preserve">gericht verbleibe.</w:t>
      </w:r>
    </w:p>
    <w:p>
      <w:r>
        <w:t xml:space="preserve">Der Antragsteller beantragt,</w:t>
      </w:r>
    </w:p>
    <w:p>
      <w:r>
        <w:t xml:space="preserve">unter Aufhebung des Urteils des Bayerischen Dienstgerichts für Richter</w:t>
      </w:r>
    </w:p>
    <w:p>
      <w:r>
        <w:t xml:space="preserve">in München vom 6. September 1999 - DG 2/98 - festzustellen, daß der</w:t>
      </w:r>
    </w:p>
    <w:p>
      <w:r>
        <w:t xml:space="preserve">Vorhalt des Präsidenten des Amtsgerichts M. vom 27. August</w:t>
      </w:r>
    </w:p>
    <w:p>
      <w:r>
        <w:t xml:space="preserve">1998 in der Fassung des Widerspruchsbescheids der Präsidentin des</w:t>
      </w:r>
    </w:p>
    <w:p>
      <w:r>
        <w:t xml:space="preserve">Oberlandesgerichts M. vom 20. November 1998 eine die richterli-</w:t>
      </w:r>
    </w:p>
    <w:p>
      <w:r>
        <w:t xml:space="preserve">che Unabhängigkeit beeinträchtigende Maßnahme der Dienstaufsicht</w:t>
      </w:r>
    </w:p>
    <w:p>
      <w:r>
        <w:t xml:space="preserve">darstelle und deswegen unzulässig sei.</w:t>
      </w:r>
    </w:p>
    <w:p>
      <w:r>
        <w:t xml:space="preserve">Der Antragsgegner beantragt,</w:t>
      </w:r>
    </w:p>
    <w:p>
      <w:r>
        <w:t xml:space="preserve">die Revision zurückzuweisen.</w:t>
      </w:r>
    </w:p>
    <w:p>
      <w:r>
        <w:t xml:space="preserve">Wegen der näheren Einzelheiten des Vorbringens wird auf die Revisi-</w:t>
      </w:r>
    </w:p>
    <w:p>
      <w:r>
        <w:t xml:space="preserve">onsbegründung vom 20. Dezember 1999 und die Revisionserwiderung vom</w:t>
      </w:r>
    </w:p>
    <w:p>
      <w:r>
        <w:t xml:space="preserve">28. Februar 2000 Bezug genommen.</w:t>
      </w:r>
    </w:p>
    <w:p>
      <w:pPr>
        <w:pStyle w:val="Heading2"/>
      </w:pPr>
      <w:r>
        <w:t xml:space="preserve">Entscheidungsgründe</w:t>
      </w:r>
    </w:p>
    <w:p>
      <w:r>
        <w:t xml:space="preserve">Die zulässige Revision ist nicht begründet. Das Bayerische Dienstge-</w:t>
      </w:r>
    </w:p>
    <w:p>
      <w:r>
        <w:t xml:space="preserve">richt für Richter ist zu Recht davon ausgegangen, daß der Vorhalt des Präsi-</w:t>
      </w:r>
    </w:p>
    <w:p>
      <w:r>
        <w:t xml:space="preserve">denten des Amtsgerichts M. als Maßnahme der Dienstaufsicht zulässig</w:t>
      </w:r>
    </w:p>
    <w:p>
      <w:r>
        <w:t xml:space="preserve">war und den Antragsteller nicht in seiner richterlichen Unabhängigkeit beein-</w:t>
      </w:r>
    </w:p>
    <w:p>
      <w:r>
        <w:t xml:space="preserve">trächtigt.</w:t>
      </w:r>
    </w:p>
    <w:p>
      <w:r>
        <w:t xml:space="preserve">1. Nach § 26 Abs. 1 DRiG untersteht der Richter einer Dienstaufsicht</w:t>
      </w:r>
    </w:p>
    <w:p>
      <w:r>
        <w:t xml:space="preserve">nur, soweit nicht seine richterliche Unabhängigkeit beeinträchtigt wird. Damit ist</w:t>
      </w:r>
    </w:p>
    <w:p>
      <w:r>
        <w:t xml:space="preserve">nicht nur die eigentliche Rechtsfindung der Dienstaufsicht entzogen, sondern</w:t>
      </w:r>
    </w:p>
    <w:p>
      <w:r>
        <w:t xml:space="preserve">zugleich alle ihr auch nur mittelbar dienenden - sie vorbereitenden oder ihr</w:t>
      </w:r>
    </w:p>
    <w:p>
      <w:r>
        <w:t xml:space="preserve">nachfolgenden - Sach- und Verfahrensentscheidungen, welche im Interesse</w:t>
      </w:r>
    </w:p>
    <w:p>
      <w:r>
        <w:t xml:space="preserve">eines wirksamen Schutzes der richterlichen Unabhängigkeit ebenfalls dem</w:t>
      </w:r>
    </w:p>
    <w:p>
      <w:r>
        <w:t xml:space="preserve">Kernbereich richterlicher Tätigkeit zuzurechnen sind (vgl. BGHZ 42, 163, 169;</w:t>
      </w:r>
    </w:p>
    <w:p>
      <w:r>
        <w:t xml:space="preserve">71, 9, 11; 90, 41, 45; BGH, Urteile vom 10. Januar 1985 - RiZ (R) 7/84, NJW</w:t>
      </w:r>
    </w:p>
    <w:p>
      <w:r>
        <w:t xml:space="preserve">1985, 1471, 1472 und vom 12. Oktober 1995 - RiZ (R) 2/95, DRiZ 1996, 371).</w:t>
      </w:r>
    </w:p>
    <w:p>
      <w:r>
        <w:t xml:space="preserve">In diesem Bereich sind Maßnahmen der Dienstaufsicht nur dann zulässig,</w:t>
      </w:r>
    </w:p>
    <w:p>
      <w:r>
        <w:t xml:space="preserve">wenn es sich um einen offensichtlichen, jedem Zweifel entrückten Fehlgriff</w:t>
      </w:r>
    </w:p>
    <w:p>
      <w:r>
        <w:t xml:space="preserve">handelt (vgl. BGHZ 67, 184, 187; 70, 1, 4; BGH, Urteil vom 1. Dezember 1983</w:t>
      </w:r>
    </w:p>
    <w:p>
      <w:r>
        <w:t xml:space="preserve">- RiZ (R) 5/83, DRiZ 1984, 194, 195).</w:t>
      </w:r>
    </w:p>
    <w:p>
      <w:r>
        <w:t xml:space="preserve">Andererseits geht das Gesetz in § 26 Abs. 1 DRiG davon aus, daß die</w:t>
      </w:r>
    </w:p>
    <w:p>
      <w:r>
        <w:t xml:space="preserve">richterliche Amtstätigkeit in Teilbereichen der Dienstaufsicht zugänglich ist, und</w:t>
      </w:r>
    </w:p>
    <w:p>
      <w:r>
        <w:t xml:space="preserve">gibt in § 26 Abs. 2 DRiG dem Dienstvorgesetzten ausdrücklich die Befugnis,</w:t>
      </w:r>
    </w:p>
    <w:p>
      <w:r>
        <w:t xml:space="preserve">einem Richter die ordnungswidrige Art der Ausführung von Dienstgeschäften</w:t>
      </w:r>
    </w:p>
    <w:p>
      <w:r>
        <w:t xml:space="preserve">vorzuhalten und ihn zu ordnungsgemäßer unverzüglicher Erledigung zu er-</w:t>
      </w:r>
    </w:p>
    <w:p>
      <w:r>
        <w:t xml:space="preserve">mahnen. Es entspricht daher ständiger Rechtsprechung des Dienstgerichts des</w:t>
      </w:r>
    </w:p>
    <w:p>
      <w:r>
        <w:t xml:space="preserve">Bundes, daß die richterliche Amtsführung insoweit der Dienstaufsicht unter-</w:t>
      </w:r>
    </w:p>
    <w:p>
      <w:r>
        <w:t xml:space="preserve">liegt, als es um die Sicherung eines ordnungsgemäßen Geschäftsablaufs und</w:t>
      </w:r>
    </w:p>
    <w:p>
      <w:r>
        <w:t xml:space="preserve">die äußere Form der Erledigung der Amtsgeschäfte oder um solche Fragen</w:t>
      </w:r>
    </w:p>
    <w:p>
      <w:r>
        <w:t xml:space="preserve">geht, die dem Kernbereich der eigentlichen Rechtsprechung so weit entrückt</w:t>
      </w:r>
    </w:p>
    <w:p>
      <w:r>
        <w:t xml:space="preserve">sind, daß sie nur noch als zur äußeren Ordnung gehörig anzusehen sind</w:t>
      </w:r>
    </w:p>
    <w:p>
      <w:r>
        <w:t xml:space="preserve">(BGHZ 42, 163, 169 f.; 47, 275, 286; 51, 280, 285, 287 f.; 90, 41, 45; BGH,</w:t>
      </w:r>
    </w:p>
    <w:p>
      <w:r>
        <w:t xml:space="preserve">Urteil vom 11. Juni 1971 - RiZ (R) 3/70, DRiZ 1971, 317).</w:t>
      </w:r>
    </w:p>
    <w:p>
      <w:r>
        <w:t xml:space="preserve">2. Der vom Antragsteller beanstandete Vorhalt bezieht sich ausschließ-</w:t>
      </w:r>
    </w:p>
    <w:p>
      <w:r>
        <w:t xml:space="preserve">lich auf die verzögerte Vorlage des Haftaufhebungsantrages. Der Präsident</w:t>
      </w:r>
    </w:p>
    <w:p>
      <w:r>
        <w:t xml:space="preserve">des Amtsgerichts wendet sich nicht gegen die Rechtsauffassung des Antrag-</w:t>
      </w:r>
    </w:p>
    <w:p>
      <w:r>
        <w:t xml:space="preserve">stellers, nach welcher der Antrag des Angeklagten vom 5. November 1997 ei-</w:t>
      </w:r>
    </w:p>
    <w:p>
      <w:r>
        <w:t xml:space="preserve">nen mit der Berufung verbundenen Zusatzantrag auf Haftprüfung an das Land-</w:t>
      </w:r>
    </w:p>
    <w:p>
      <w:r>
        <w:t xml:space="preserve">gericht darstelle, über den dieses nach Eingang der Berufung zu entscheiden</w:t>
      </w:r>
    </w:p>
    <w:p>
      <w:r>
        <w:t xml:space="preserve">habe. Er hält dem Antragsteller lediglich vor, daß dieser das in Haftsachen</w:t>
      </w:r>
    </w:p>
    <w:p>
      <w:r>
        <w:t xml:space="preserve">geltende Beschleunigungsgebot mißachtet und die Akten mit dem Haftaufhe-</w:t>
      </w:r>
    </w:p>
    <w:p>
      <w:r>
        <w:t xml:space="preserve">bungsantrag weder schnellstmöglich noch sogleich nach Fertigung und Zu-</w:t>
      </w:r>
    </w:p>
    <w:p>
      <w:r>
        <w:t xml:space="preserve">stellung des Urteils dem Berufungsgericht vorgelegt hat. Das Dienstgericht hat</w:t>
      </w:r>
    </w:p>
    <w:p>
      <w:r>
        <w:t xml:space="preserve">insoweit in revisionsrechtlich nicht zu beanstandender Weise ausgeführt, daß</w:t>
      </w:r>
    </w:p>
    <w:p>
      <w:r>
        <w:t xml:space="preserve">dies beispielsweise durch einen Hinweis auf den Haftentlassungsantrag anläß-</w:t>
      </w:r>
    </w:p>
    <w:p>
      <w:r>
        <w:t xml:space="preserve">lich der Vorlage der Akten an die Staatsanwaltschaft am 17. November 1997</w:t>
      </w:r>
    </w:p>
    <w:p>
      <w:r>
        <w:t xml:space="preserve">hätte erfolgen können und daß ein solcher Hinweis auch in späteren Verfügun-</w:t>
      </w:r>
    </w:p>
    <w:p>
      <w:r>
        <w:t xml:space="preserve">gen unterblieben ist.</w:t>
      </w:r>
    </w:p>
    <w:p>
      <w:r>
        <w:t xml:space="preserve">Der Vorhalt bezieht sich mithin auf den Bereich der äußeren Ordnung.</w:t>
      </w:r>
    </w:p>
    <w:p>
      <w:r>
        <w:t xml:space="preserve">Hier ist der Dienstvorgesetzte, sofern die weiteren Voraussetzungen des § 26</w:t>
      </w:r>
    </w:p>
    <w:p>
      <w:r>
        <w:t xml:space="preserve">Abs. 2 DRiG vorliegen, befugt, dem Richter eine ordnungswidrige Ausübung</w:t>
      </w:r>
    </w:p>
    <w:p>
      <w:r>
        <w:t xml:space="preserve">seiner Tätigkeit vorzuhalten und ihn für die Zukunft durch eine Ermahnung all-</w:t>
      </w:r>
    </w:p>
    <w:p>
      <w:r>
        <w:t xml:space="preserve">gemein anzuhalten, seine Amtsgeschäfte ordnungsgemäß zu erledigen (BGHZ</w:t>
      </w:r>
    </w:p>
    <w:p>
      <w:r>
        <w:t xml:space="preserve">51, 280, 286; BGH, Urteile vom 10. Januar 1985 - RiZ (R) 7/84, NJW 1985,</w:t>
      </w:r>
    </w:p>
    <w:p>
      <w:r>
        <w:t xml:space="preserve">1471, 1472, und vom 6. November 1986 - RiZ (R) 4/86, NJW 1987, 1197,</w:t>
      </w:r>
    </w:p>
    <w:p>
      <w:r>
        <w:t xml:space="preserve">1198). Ein solcher Vorhalt beeinträchtigt die richterliche Unabhängigkeit des</w:t>
      </w:r>
    </w:p>
    <w:p>
      <w:r>
        <w:t xml:space="preserve">betroffenen Richters nicht.</w:t>
      </w:r>
    </w:p>
    <w:p>
      <w:r>
        <w:t xml:space="preserve">3. Soweit der Antragsteller darüber hinaus geltend macht, der Vorhalt</w:t>
      </w:r>
    </w:p>
    <w:p>
      <w:r>
        <w:t xml:space="preserve">sei sachlich nicht gerechtfertigt, da er die Vorlage der Berufung an das Land-</w:t>
      </w:r>
    </w:p>
    <w:p>
      <w:r>
        <w:t xml:space="preserve">gericht mit größtmöglicher Beschleunigung gefördert habe, sind seine Einwen-</w:t>
      </w:r>
    </w:p>
    <w:p>
      <w:r>
        <w:t xml:space="preserve">dungen in dem vorliegenden Verfahren unbeachtlich. Das Dienstgericht hat bei</w:t>
      </w:r>
    </w:p>
    <w:p>
      <w:r>
        <w:t xml:space="preserve">Anfechtung einer Maßnahme der Dienstaufsicht aus den Gründen des § 26</w:t>
      </w:r>
    </w:p>
    <w:p>
      <w:r>
        <w:t xml:space="preserve">Abs. 3 DRiG nur darüber zu entscheiden, ob die Maßnahme die Unabhängig-</w:t>
      </w:r>
    </w:p>
    <w:p>
      <w:r>
        <w:t xml:space="preserve">keit des Richters beeinträchtigt; hingegen hat es nicht zu prüfen, ob sie auch</w:t>
      </w:r>
    </w:p>
    <w:p>
      <w:r>
        <w:t xml:space="preserve">allgemein rechtmäßig und sachlich gerechtfertigt ist, da insoweit der Verwal-</w:t>
      </w:r>
    </w:p>
    <w:p>
      <w:r>
        <w:t xml:space="preserve">tungsrechtsweg gegeben ist (vgl. BGHZ 90, 41, 48 f.; BGH, Urteil vom</w:t>
      </w:r>
    </w:p>
    <w:p>
      <w:r>
        <w:t xml:space="preserve">16. September 1987 - RiZ (R) 4/87, NJW 1988, 419, 420).</w:t>
      </w:r>
    </w:p>
    <w:p>
      <w:r>
        <w:t xml:space="preserve">4. Die Kostenentscheidung beruht auf § 80 Abs. 1 Satz 1 DRiG i.V.m.</w:t>
      </w:r>
    </w:p>
    <w:p>
      <w:r>
        <w:t xml:space="preserve">§ 154 Abs. 2 VwGO.</w:t>
      </w:r>
    </w:p>
    <w:p>
      <w:r>
        <w:t xml:space="preserve">Der Wert des Streitgegenstandes wird für das Revisionsverfahren ent-</w:t>
      </w:r>
    </w:p>
    <w:p>
      <w:r>
        <w:t xml:space="preserve">sprechend § 13 Abs. 1 Satz 2, § 14 Abs. 1 Satz 1 GKG auf 8.000 DM festge-</w:t>
      </w:r>
    </w:p>
    <w:p>
      <w:r>
        <w:t xml:space="preserve">setzt.</w:t>
      </w:r>
    </w:p>
    <w:p>
      <w:r>
        <w:t xml:space="preserve">Erdmann Siol Boetticher</w:t>
      </w:r>
    </w:p>
    <w:p>
      <w:r>
        <w:t xml:space="preserve">Seiffert</w:t>
      </w:r>
    </w:p>
    <w:p>
      <w:r>
        <w:t xml:space="preserve">(cid:18)(cid:20)(cid:19)(cid:22)(cid:21)(cid:24)(cid:23)(cid:26)(cid:25)(cid:12)(cid:27)(cid:28)(cid:18)(cid:3)(cid:29)(cid:5)(cid:19)(cid:7)(cid:30)(cid:9)(cid:31)(cid:11)(cid:25) (cid:19) !(cid:16)(cid:23)#"</w:t>
      </w:r>
    </w:p>
    <w:p>
      <w:r>
        <w:rPr>
          <w:color w:val="555555"/>
          <w:sz w:val="17"/>
        </w:rPr>
        <w:t xml:space="preserve">Zitiervorschlag: BGH, Urteile vom 05.07.2000 – RiZ (R) 6/99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https://recht.nulegal.eu/rechtsprechung/bgh/2000-07-05/riz-r-6-99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Urteile vom 05.07.2000 – RiZ (R) 6/99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