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Beschluß vom 06.06.2000 – 4 StR 91/00</w:t>
      </w:r>
    </w:p>
    <w:p>
      <w:r>
        <w:rPr>
          <w:color w:val="555555"/>
          <w:sz w:val="18"/>
        </w:rPr>
        <w:t xml:space="preserve">4. Strafsenat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6. Juni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4 StR 91/00</w:t>
      </w:r>
    </w:p>
    <w:p>
      <w:r>
        <w:t xml:space="preserve">1.</w:t>
      </w:r>
    </w:p>
    <w:p>
      <w:r>
        <w:t xml:space="preserve">2.</w:t>
      </w:r>
    </w:p>
    <w:p>
      <w:r>
        <w:t xml:space="preserve">wegen Bandendiebstahls u.a.</w:t>
      </w:r>
    </w:p>
    <w:p>
      <w:r>
        <w:t xml:space="preserve">Der 4. Strafsenat des Bundesgerichtshofs hat nach Anhörung des Generalbun-</w:t>
      </w:r>
    </w:p>
    <w:p>
      <w:r>
        <w:t xml:space="preserve">desanwalts und der Beschwerdeführer am 6. Juni 2000 gemäß §§ 349 Abs. 2</w:t>
      </w:r>
    </w:p>
    <w:p>
      <w:r>
        <w:t xml:space="preserve">und 4, 357 StPO beschlossen:</w:t>
      </w:r>
    </w:p>
    <w:p>
      <w:r>
        <w:t xml:space="preserve">I. Auf die Revision des Angeklagten S. wird das Urteil des</w:t>
      </w:r>
    </w:p>
    <w:p>
      <w:r>
        <w:t xml:space="preserve">Landgerichts Potsdam vom 22. Januar 1999, soweit es ihn be-</w:t>
      </w:r>
    </w:p>
    <w:p>
      <w:r>
        <w:t xml:space="preserve">trifft, im Schuldspruch dahin geändert, daß der Angeklagte des</w:t>
      </w:r>
    </w:p>
    <w:p>
      <w:r>
        <w:t xml:space="preserve">Bandendiebstahls in 14 Fällen, davon in zwei Fällen in Tatein-</w:t>
      </w:r>
    </w:p>
    <w:p>
      <w:r>
        <w:t xml:space="preserve">heit mit Computerbetrug, sowie der vorsätzlichen Gefährdung</w:t>
      </w:r>
    </w:p>
    <w:p>
      <w:r>
        <w:t xml:space="preserve">des Straßenverkehrs schuldig ist.</w:t>
      </w:r>
    </w:p>
    <w:p>
      <w:r>
        <w:t xml:space="preserve">II. Auf die Revision des Angeklagten St. wird das vorbe-</w:t>
      </w:r>
    </w:p>
    <w:p>
      <w:r>
        <w:t xml:space="preserve">zeichnete Urteil, soweit es ihn und die Mitangeklagten E.</w:t>
      </w:r>
    </w:p>
    <w:p>
      <w:r>
        <w:t xml:space="preserve">und W. betrifft, in den Schuldsprüchen dahin geändert,</w:t>
      </w:r>
    </w:p>
    <w:p>
      <w:r>
        <w:t xml:space="preserve">daß</w:t>
      </w:r>
    </w:p>
    <w:p>
      <w:r>
        <w:t xml:space="preserve">1. der Angeklagte St. des Bandendiebstahls in 10 Fäl-</w:t>
      </w:r>
    </w:p>
    <w:p>
      <w:r>
        <w:t xml:space="preserve">len, davon in einem Fall dreimal tateinheitlich begangen, in</w:t>
      </w:r>
    </w:p>
    <w:p>
      <w:r>
        <w:t xml:space="preserve">einem Fall in Tateinheit mit versuchtem Bandendiebstahl</w:t>
      </w:r>
    </w:p>
    <w:p>
      <w:r>
        <w:t xml:space="preserve">und in zwei Fällen in Tateinheit mit Computerbetrug, des</w:t>
      </w:r>
    </w:p>
    <w:p>
      <w:r>
        <w:t xml:space="preserve">versuchten Bandendiebstahls und des versuchten Betru-</w:t>
      </w:r>
    </w:p>
    <w:p>
      <w:r>
        <w:t xml:space="preserve">ges,</w:t>
      </w:r>
    </w:p>
    <w:p>
      <w:r>
        <w:t xml:space="preserve">2. der Angeklagte E. des Bandendiebstahls in 16 Fällen,</w:t>
      </w:r>
    </w:p>
    <w:p>
      <w:r>
        <w:t xml:space="preserve">davon in einem Fall dreimal tateinheitlich begangen, in ei-</w:t>
      </w:r>
    </w:p>
    <w:p>
      <w:r>
        <w:t xml:space="preserve">nem Fall in Tateinheit mit versuchtem Bandendiebstahl und</w:t>
      </w:r>
    </w:p>
    <w:p>
      <w:r>
        <w:t xml:space="preserve">in zwei Fällen in Tateinheit mit Computerbetrug,</w:t>
      </w:r>
    </w:p>
    <w:p>
      <w:r>
        <w:t xml:space="preserve">3. der Angeklagte W. des Bandendiebstahls in sieben</w:t>
      </w:r>
    </w:p>
    <w:p>
      <w:r>
        <w:t xml:space="preserve">Fällen, davon in einem Fall dreimal tateinheitlich begangen</w:t>
      </w:r>
    </w:p>
    <w:p>
      <w:r>
        <w:t xml:space="preserve">und in zwei Fällen in Tateinheit mit Computerbetrug</w:t>
      </w:r>
    </w:p>
    <w:p>
      <w:r>
        <w:t xml:space="preserve">schuldig ist.</w:t>
      </w:r>
    </w:p>
    <w:p>
      <w:r>
        <w:t xml:space="preserve">III. Die weiter gehenden Revisionen werden verworfen.</w:t>
      </w:r>
    </w:p>
    <w:p>
      <w:r>
        <w:t xml:space="preserve">IV. Jeder Beschwerdeführer hat die Kosten seines Rechtsmittels</w:t>
      </w:r>
    </w:p>
    <w:p>
      <w:r>
        <w:t xml:space="preserve">zu tragen.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S. wegen ”Bandendiebstahls</w:t>
      </w:r>
    </w:p>
    <w:p>
      <w:r>
        <w:t xml:space="preserve">in 14 Fällen, in 2 Fällen in Tateinheit mit Computerbetrug”, und wegen gefährli-</w:t>
      </w:r>
    </w:p>
    <w:p>
      <w:r>
        <w:t xml:space="preserve">chen Eingriffs in den Straßenverkehr zu einer Jugendstrafe von zwei Jahren</w:t>
      </w:r>
    </w:p>
    <w:p>
      <w:r>
        <w:t xml:space="preserve">und sechs Monaten, den Angeklagten St. wegen ”Bandendiebstahls in</w:t>
      </w:r>
    </w:p>
    <w:p>
      <w:r>
        <w:t xml:space="preserve">13 Fällen, in 2 Fällen in Tateinheit mit Computerbetrug, versuchten Banden-</w:t>
      </w:r>
    </w:p>
    <w:p>
      <w:r>
        <w:t xml:space="preserve">diebstahls sowie versuchten Betruges” zu einer Jugendstrafe von zwei Jahren</w:t>
      </w:r>
    </w:p>
    <w:p>
      <w:r>
        <w:t xml:space="preserve">mit Strafaussetzung zur Bewährung verurteilt. Den Angeklagten E. hat es</w:t>
      </w:r>
    </w:p>
    <w:p>
      <w:r>
        <w:t xml:space="preserve">wegen ”Bandendiebstahls in 19 Fällen, in 2 Fällen in Tateinheit mit Computer-</w:t>
      </w:r>
    </w:p>
    <w:p>
      <w:r>
        <w:t xml:space="preserve">betrug” zur Jugendstrafe von zwei Jahren, den Angeklagten W. wegen</w:t>
      </w:r>
    </w:p>
    <w:p>
      <w:r>
        <w:t xml:space="preserve">”Bandendiebstahls in 9 Fällen, in 2 Fällen in Tateinheit mit Computerbetrug”</w:t>
      </w:r>
    </w:p>
    <w:p>
      <w:r>
        <w:t xml:space="preserve">zur Jugendstrafe von einem Jahr und drei Monaten - jeweils mit Strafausset-</w:t>
      </w:r>
    </w:p>
    <w:p>
      <w:r>
        <w:t xml:space="preserve">zung zur Bewährung - verurteilt.</w:t>
      </w:r>
    </w:p>
    <w:p>
      <w:r>
        <w:t xml:space="preserve">Mit ihren Revisionen rügen die Angeklagten S. und St. die</w:t>
      </w:r>
    </w:p>
    <w:p>
      <w:r>
        <w:t xml:space="preserve">Verletzung materiellen Rechts; außerdem beanstanden sie das Verfahren. Die</w:t>
      </w:r>
    </w:p>
    <w:p>
      <w:r>
        <w:t xml:space="preserve">Rechtsmittel haben nur in geringem Umfang Erfolg; im übrigen sind sie unbe-</w:t>
      </w:r>
    </w:p>
    <w:p>
      <w:r>
        <w:t xml:space="preserve">gründet im Sinne des § 349 Abs. 2 StPO.</w:t>
      </w:r>
    </w:p>
    <w:p>
      <w:r>
        <w:t xml:space="preserve">I.</w:t>
      </w:r>
    </w:p>
    <w:p>
      <w:r>
        <w:t xml:space="preserve">Nach den Feststellungen beschloß eine Gruppe von etwa 20 jungen</w:t>
      </w:r>
    </w:p>
    <w:p>
      <w:r>
        <w:t xml:space="preserve">Männern, der auch die Angeklagten angehörten, im April 1993, ihren Lebens-</w:t>
      </w:r>
    </w:p>
    <w:p>
      <w:r>
        <w:t xml:space="preserve">unterhalt durch die Begehung von Diebstählen zu bestreiten. In Ausführung</w:t>
      </w:r>
    </w:p>
    <w:p>
      <w:r>
        <w:t xml:space="preserve">dieses Vorhabens brachen sie in wechselnder Besetzung in einer Vielzahl von</w:t>
      </w:r>
    </w:p>
    <w:p>
      <w:r>
        <w:t xml:space="preserve">Fällen - jeweils unter Mitwirkung mindestens eines weiteren Bandenmitglieds -</w:t>
      </w:r>
    </w:p>
    <w:p>
      <w:r>
        <w:t xml:space="preserve">Kraftfahrzeuge auf und entwendeten aus diesen insbesondere Bargeld sowie</w:t>
      </w:r>
    </w:p>
    <w:p>
      <w:r>
        <w:t xml:space="preserve">Scheck- und Kreditkarten, die anschließend zu Abhebungen oder Einkäufen</w:t>
      </w:r>
    </w:p>
    <w:p>
      <w:r>
        <w:t xml:space="preserve">genutzt wurden, gelegentlich stahlen sie auch die Fahrzeuge selbst.</w:t>
      </w:r>
    </w:p>
    <w:p>
      <w:r>
        <w:t xml:space="preserve">II.</w:t>
      </w:r>
    </w:p>
    <w:p>
      <w:r>
        <w:t xml:space="preserve">Die Verfahrensbeschwerden dringen nicht durch.</w:t>
      </w:r>
    </w:p>
    <w:p>
      <w:r>
        <w:t xml:space="preserve">Ohne Erfolg machen die Revisionen geltend, daß wegen einer Verlet-</w:t>
      </w:r>
    </w:p>
    <w:p>
      <w:r>
        <w:t xml:space="preserve">zung des Beschleunigungsgebots ein Verfahrenshindernis vorliege.</w:t>
      </w:r>
    </w:p>
    <w:p>
      <w:r>
        <w:t xml:space="preserve">1. Das Landgericht ist unter Schilderung des Verfahrensganges (UA 42)</w:t>
      </w:r>
    </w:p>
    <w:p>
      <w:r>
        <w:t xml:space="preserve">zu dem Ergebnis gelangt, daß eine von den Angeklagten nicht zu vertretende</w:t>
      </w:r>
    </w:p>
    <w:p>
      <w:r>
        <w:t xml:space="preserve">Verfahrensverzögerung von etwa vier Jahren als Folge der verspäteten Vorla-</w:t>
      </w:r>
    </w:p>
    <w:p>
      <w:r>
        <w:t xml:space="preserve">ge der Ermittlungsakten durch die Polizei an die Staatsanwaltschaft und einer</w:t>
      </w:r>
    </w:p>
    <w:p>
      <w:r>
        <w:t xml:space="preserve">verzögerten Anklageerhebung vorliege. Von Amts wegen zu berücksichtigende</w:t>
      </w:r>
    </w:p>
    <w:p>
      <w:r>
        <w:t xml:space="preserve">rechtsstaatswidrige Verfahrensverzögerungen nach Erlaß des tatrichterlichen</w:t>
      </w:r>
    </w:p>
    <w:p>
      <w:r>
        <w:t xml:space="preserve">Urteils sind darüber hinaus weder von den Revisionen vorgetragen noch sonst</w:t>
      </w:r>
    </w:p>
    <w:p>
      <w:r>
        <w:t xml:space="preserve">ersichtlich.</w:t>
      </w:r>
    </w:p>
    <w:p>
      <w:r>
        <w:t xml:space="preserve">2. Die durch das Landgericht festgestellte Verletzung des in Art. 6 Abs. 1</w:t>
      </w:r>
    </w:p>
    <w:p>
      <w:r>
        <w:t xml:space="preserve">Satz 1 MRK garantierten Rechts auf gerichtliche Entscheidung in angemesse-</w:t>
      </w:r>
    </w:p>
    <w:p>
      <w:r>
        <w:t xml:space="preserve">ner Zeit begründet kein Verfahrenshindernis (vgl. BGHSt 35, 137, 139 f.; Klein-</w:t>
      </w:r>
    </w:p>
    <w:p>
      <w:r>
        <w:t xml:space="preserve">knecht/Meyer-Goßner StPO 44. Aufl. Art. 6 MRK Rdn. 9 m.w.N.). Besondere</w:t>
      </w:r>
    </w:p>
    <w:p>
      <w:r>
        <w:t xml:space="preserve">Umstände, die den Senat dazu veranlassen könnten, das Verfahren abzubre-</w:t>
      </w:r>
    </w:p>
    <w:p>
      <w:r>
        <w:t xml:space="preserve">chen und einzustellen, sind nicht gegeben. Die übermäßige, von den Ange-</w:t>
      </w:r>
    </w:p>
    <w:p>
      <w:r>
        <w:t xml:space="preserve">klagten nicht verschuldete Verzögerung muß jedoch beim Rechtsfolgenaus-</w:t>
      </w:r>
    </w:p>
    <w:p>
      <w:r>
        <w:t xml:space="preserve">spruch wieder gutgemacht werden. Das hat das Landgericht getan:</w:t>
      </w:r>
    </w:p>
    <w:p>
      <w:r>
        <w:t xml:space="preserve">Es hat unter Beachtung der höchstrichterlichen Rechtsprechung (vgl.</w:t>
      </w:r>
    </w:p>
    <w:p>
      <w:r>
        <w:t xml:space="preserve">BVerfG NStZ 1997, 591; BGH NStZ 1999, 181; BGHR StGB § 46 Abs. 2 Ver-</w:t>
      </w:r>
    </w:p>
    <w:p>
      <w:r>
        <w:t xml:space="preserve">fahrensverzögerung 7 und 12) Art und Ausmaß der Verzögerung festgestellt</w:t>
      </w:r>
    </w:p>
    <w:p>
      <w:r>
        <w:t xml:space="preserve">und sodann das Maß der Kompensation durch eine Ermäßigung der an sich</w:t>
      </w:r>
    </w:p>
    <w:p>
      <w:r>
        <w:t xml:space="preserve">verwirkten Jugendstrafen konkret bestimmt. Hierbei hat es dem festgestellten</w:t>
      </w:r>
    </w:p>
    <w:p>
      <w:r>
        <w:t xml:space="preserve">Verstoß gegen Art. 6 Abs. 1 Satz 1 MRK durch eine Reduzierung der an sich</w:t>
      </w:r>
    </w:p>
    <w:p>
      <w:r>
        <w:t xml:space="preserve">verwirkten Jugendstrafe von vier Jahren auf zwei Jahre und sechs Monate</w:t>
      </w:r>
    </w:p>
    <w:p>
      <w:r>
        <w:t xml:space="preserve">beim Angeklagten S. bzw. von drei Jahren und sechs Monaten auf zwei</w:t>
      </w:r>
    </w:p>
    <w:p>
      <w:r>
        <w:t xml:space="preserve">Jahre (mit Strafaussetzung zur Bewährung) beim Angeklagten St. ange-</w:t>
      </w:r>
    </w:p>
    <w:p>
      <w:r>
        <w:t xml:space="preserve">messen Rechnung getragen. Eine weitere Herabsetzung der außerordentlich</w:t>
      </w:r>
    </w:p>
    <w:p>
      <w:r>
        <w:t xml:space="preserve">milden Strafen erscheint dem Senat nicht vertretbar.</w:t>
      </w:r>
    </w:p>
    <w:p>
      <w:r>
        <w:t xml:space="preserve">III.</w:t>
      </w:r>
    </w:p>
    <w:p>
      <w:r>
        <w:t xml:space="preserve">Die Sachrügen haben nur in geringem Umfang Erfolg.</w:t>
      </w:r>
    </w:p>
    <w:p>
      <w:r>
        <w:t xml:space="preserve">1. Die Annahme von Tatmehrheit in sämtlichen Fällen des Bandendieb-</w:t>
      </w:r>
    </w:p>
    <w:p>
      <w:r>
        <w:t xml:space="preserve">stahls hält revisionsrechtlicher Nachprüfung nicht stand:</w:t>
      </w:r>
    </w:p>
    <w:p>
      <w:r>
        <w:t xml:space="preserve">a) In den Fällen II 7-9 der Urteilsgründe öffneten die Angeklagten St.</w:t>
      </w:r>
    </w:p>
    <w:p>
      <w:r>
        <w:t xml:space="preserve">, E. und W. gemeinsam mit dem gesondert verfolgten Steve Wi.</w:t>
      </w:r>
    </w:p>
    <w:p>
      <w:r>
        <w:t xml:space="preserve">auf dem Parkplatz des Hansa-Parks in Sierksdorf nacheinander gewaltsam drei</w:t>
      </w:r>
    </w:p>
    <w:p>
      <w:r>
        <w:t xml:space="preserve">Pkws verschiedener Eigentümer und entwendeten aus den Fahrzeugen Mit-</w:t>
      </w:r>
    </w:p>
    <w:p>
      <w:r>
        <w:t xml:space="preserve">nehmenswertes. In den Fällen II 14 und 15 brachen die Angeklagten St.</w:t>
      </w:r>
    </w:p>
    <w:p>
      <w:r>
        <w:t xml:space="preserve">und E. hintereinander zwei auf dem Parkplatz einer Pension in Werder</w:t>
      </w:r>
    </w:p>
    <w:p>
      <w:r>
        <w:t xml:space="preserve">abgestellte Fahrzeuge auf und nahmen daraus ihnen stehlenswert Erscheinen-</w:t>
      </w:r>
    </w:p>
    <w:p>
      <w:r>
        <w:t xml:space="preserve">des mit.</w:t>
      </w:r>
    </w:p>
    <w:p>
      <w:r>
        <w:t xml:space="preserve">b) Da die Handlungen auf den beiden Parkplätzen jeweils auf einer Wil-</w:t>
      </w:r>
    </w:p>
    <w:p>
      <w:r>
        <w:t xml:space="preserve">lensentschließung beruhten und zwischen den Betätigungen ein unmittelbarer</w:t>
      </w:r>
    </w:p>
    <w:p>
      <w:r>
        <w:t xml:space="preserve">räumlicher und zeitlicher Zusammenhang bestand, der das gesamte Handeln</w:t>
      </w:r>
    </w:p>
    <w:p>
      <w:r>
        <w:t xml:space="preserve">objektiv auch für einen Dritten als ein einheitliches zusammengehöriges Tun</w:t>
      </w:r>
    </w:p>
    <w:p>
      <w:r>
        <w:t xml:space="preserve">erscheinen läßt, liegt nur jeweils eine natürliche Handlungseinheit vor (vgl.</w:t>
      </w:r>
    </w:p>
    <w:p>
      <w:r>
        <w:t xml:space="preserve">BGH NStZ 1996, 493, 494). Dem steht nicht entgegen, daß sich die Angriffe</w:t>
      </w:r>
    </w:p>
    <w:p>
      <w:r>
        <w:t xml:space="preserve">gegen verschiedene Eigentümer richteten. Die Fälle II 7-9 sowie II 14 und 15</w:t>
      </w:r>
    </w:p>
    <w:p>
      <w:r>
        <w:t xml:space="preserve">stehen somit nicht in Tatmehrheit, sondern jeweils in gleichartiger Tateinheit</w:t>
      </w:r>
    </w:p>
    <w:p>
      <w:r>
        <w:t xml:space="preserve">zueinander.</w:t>
      </w:r>
    </w:p>
    <w:p>
      <w:r>
        <w:t xml:space="preserve">2. Darüber hinaus kann im Fall II 15 der Schuldspruch wegen vollende-</w:t>
      </w:r>
    </w:p>
    <w:p>
      <w:r>
        <w:t xml:space="preserve">ten Bandendiebstahls nicht bestehen bleiben:</w:t>
      </w:r>
    </w:p>
    <w:p>
      <w:r>
        <w:t xml:space="preserve">a) Nach den Feststellungen entnahmen hier die Angeklagten St.</w:t>
      </w:r>
    </w:p>
    <w:p>
      <w:r>
        <w:t xml:space="preserve">und E. einem von ihnen aufgebrochenen VW-Bus einen Aktenkoffer mit</w:t>
      </w:r>
    </w:p>
    <w:p>
      <w:r>
        <w:t xml:space="preserve">Geschäftsunterlagen, den sie anschließend wegwarfen, nachdem sie festge-</w:t>
      </w:r>
    </w:p>
    <w:p>
      <w:r>
        <w:t xml:space="preserve">stellt hatten, daß sie für den Inhalt keine Verwendung hatten.</w:t>
      </w:r>
    </w:p>
    <w:p>
      <w:r>
        <w:t xml:space="preserve">b) Danach kommt lediglich eine Verurteilung wegen versuchten Ban-</w:t>
      </w:r>
    </w:p>
    <w:p>
      <w:r>
        <w:t xml:space="preserve">dendiebstahls in Betracht; denn wenn für den Täter nur der Inhalt eines Be-</w:t>
      </w:r>
    </w:p>
    <w:p>
      <w:r>
        <w:t xml:space="preserve">hältnisses von Interesse ist und er sich des Behälters nach Entnahme des In-</w:t>
      </w:r>
    </w:p>
    <w:p>
      <w:r>
        <w:t xml:space="preserve">halts entledigt, eignet er sich das Behältnis selbst nicht zu (vgl. BGH bei Dal-</w:t>
      </w:r>
    </w:p>
    <w:p>
      <w:r>
        <w:t xml:space="preserve">linger MDR 1975, 543; BGH, Beschluß vom 6. Mai 1999 - 4 StR 177/99). Den</w:t>
      </w:r>
    </w:p>
    <w:p>
      <w:r>
        <w:t xml:space="preserve">Inhalt eignet er sich ebenfalls nicht zu, wenn es ihm - wie hier - auf die Erlan-</w:t>
      </w:r>
    </w:p>
    <w:p>
      <w:r>
        <w:t xml:space="preserve">gung von Verwertbarem ankommt und er ihn sogleich als ”nicht brauchbar” (UA</w:t>
      </w:r>
    </w:p>
    <w:p>
      <w:r>
        <w:t xml:space="preserve">32) wegwirft (vgl. BGH bei Dallinger MDR 1976, 16; Tröndle/Fischer StGB 49.</w:t>
      </w:r>
    </w:p>
    <w:p>
      <w:r>
        <w:t xml:space="preserve">Aufl. § 242 Rdn. 19).</w:t>
      </w:r>
    </w:p>
    <w:p>
      <w:r>
        <w:t xml:space="preserve">3. Im Fall II 21 der Urteilsgründe tragen die Feststellungen den Schuld-</w:t>
      </w:r>
    </w:p>
    <w:p>
      <w:r>
        <w:t xml:space="preserve">spruch wegen gefährlichen Eingriffs in den Straßenverkehr (§ 315 b Abs. 1 Nr.</w:t>
      </w:r>
    </w:p>
    <w:p>
      <w:r>
        <w:t xml:space="preserve">3, Abs. 3 StGB) nicht:</w:t>
      </w:r>
    </w:p>
    <w:p>
      <w:r>
        <w:t xml:space="preserve">a) Der Angeklagte S. floh hier mit dem von ihm geführten Pkw in</w:t>
      </w:r>
    </w:p>
    <w:p>
      <w:r>
        <w:t xml:space="preserve">schneller Fahrt, da er - am Steuer eines gestohlenen Fahrzeugs - verhindern</w:t>
      </w:r>
    </w:p>
    <w:p>
      <w:r>
        <w:t xml:space="preserve">wollte, von der Polizei überprüft zu werden. Er mißachtete zunächst eine Licht-</w:t>
      </w:r>
    </w:p>
    <w:p>
      <w:r>
        <w:t xml:space="preserve">zeichenanlage, die rot zeigte. Hierdurch wurden andere Kraftfahrer im Kreu-</w:t>
      </w:r>
    </w:p>
    <w:p>
      <w:r>
        <w:t xml:space="preserve">zungsverkehr gezwungen, scharf abzubremsen, um eine Kollision zu vermei-</w:t>
      </w:r>
    </w:p>
    <w:p>
      <w:r>
        <w:t xml:space="preserve">den. Im weiteren Verlauf der Fahrt überholte der Angeklagte trotz Gegenver-</w:t>
      </w:r>
    </w:p>
    <w:p>
      <w:r>
        <w:t xml:space="preserve">kehrs, so daß entgegenkommende Fahrzeuge zur Vermeidung eines Zusam-</w:t>
      </w:r>
    </w:p>
    <w:p>
      <w:r>
        <w:t xml:space="preserve">menpralls auf den Randstreifen ausweichen mußten.</w:t>
      </w:r>
    </w:p>
    <w:p>
      <w:r>
        <w:t xml:space="preserve">b) Das so festgestellte vorschriftswidrige Verkehrsverhalten wird nicht</w:t>
      </w:r>
    </w:p>
    <w:p>
      <w:r>
        <w:t xml:space="preserve">von § 315 b StGB erfaßt. Nur wenn im fließenden Verkehr ein Fahrzeugführer</w:t>
      </w:r>
    </w:p>
    <w:p>
      <w:r>
        <w:t xml:space="preserve">das von ihm gesteuerte Kraftfahrzeug in verkehrsfeindlicher Einstellung bewußt</w:t>
      </w:r>
    </w:p>
    <w:p>
      <w:r>
        <w:t xml:space="preserve">zweckwidrig einsetzt, er mithin in der Absicht handelt, den Verkehrsvorgang zu</w:t>
      </w:r>
    </w:p>
    <w:p>
      <w:r>
        <w:t xml:space="preserve">einem Eingriff in den Straßenverkehr zu ”pervertieren”, und es ihm darauf an-</w:t>
      </w:r>
    </w:p>
    <w:p>
      <w:r>
        <w:t xml:space="preserve">kommt, durch diesen in die Sicherheit des Straßenverkehrs einzugreifen,</w:t>
      </w:r>
    </w:p>
    <w:p>
      <w:r>
        <w:t xml:space="preserve">kommt § 315 b Abs. 1 Nr. 3 StGB in Betracht (BGHSt 41, 231, 234; BGH NJW</w:t>
      </w:r>
    </w:p>
    <w:p>
      <w:r>
        <w:t xml:space="preserve">1999, 3132 f.; Tröndle/Fischer aaO § 315 b Rdn. 5). Das ist jedoch nicht fest-</w:t>
      </w:r>
    </w:p>
    <w:p>
      <w:r>
        <w:t xml:space="preserve">gestellt.</w:t>
      </w:r>
    </w:p>
    <w:p>
      <w:r>
        <w:t xml:space="preserve">Der Angeklagte hat sich aber wegen vorsätzlicher Gefährdung des Stra-</w:t>
      </w:r>
    </w:p>
    <w:p>
      <w:r>
        <w:t xml:space="preserve">ßenverkehrs (§ 315 c Abs. 1 Nr. 2 a und 2 b, Abs. 3 Nr. 1 StGB) schuldig ge-</w:t>
      </w:r>
    </w:p>
    <w:p>
      <w:r>
        <w:t xml:space="preserve">macht; denn er hat grob verkehrswidrig und rücksichtslos die Vorfahrt nicht be-</w:t>
      </w:r>
    </w:p>
    <w:p>
      <w:r>
        <w:t xml:space="preserve">achtet sowie falsch überholt und dadurch Leib oder Leben anderer und fremde</w:t>
      </w:r>
    </w:p>
    <w:p>
      <w:r>
        <w:t xml:space="preserve">Sachen von bedeutendem Wert (konkret) gefährdet. Dem Gesamtzusammen-</w:t>
      </w:r>
    </w:p>
    <w:p>
      <w:r>
        <w:t xml:space="preserve">hang der Urteilsgründe ist zu entnehmen, daß der Angeklagte S. die Ver-</w:t>
      </w:r>
    </w:p>
    <w:p>
      <w:r>
        <w:t xml:space="preserve">kehrsverstöße zumindest billigend in Kauf genommen und hinsichtlich der Ge-</w:t>
      </w:r>
    </w:p>
    <w:p>
      <w:r>
        <w:t xml:space="preserve">fährdung wenigstens fahrlässig gehandelt hat.</w:t>
      </w:r>
    </w:p>
    <w:p>
      <w:r>
        <w:t xml:space="preserve">4. Da nicht zu erwarten ist, daß in einer neuen Hauptverhandlung weite-</w:t>
      </w:r>
    </w:p>
    <w:p>
      <w:r>
        <w:t xml:space="preserve">re Feststellungen getroffen werden können, ändert der Senat die Schuldsprü-</w:t>
      </w:r>
    </w:p>
    <w:p>
      <w:r>
        <w:t xml:space="preserve">che entsprechend ab. § 265 StPO steht dem nicht entgegen, weil sich die An-</w:t>
      </w:r>
    </w:p>
    <w:p>
      <w:r>
        <w:t xml:space="preserve">geklagten gegen die geänderten Schuldsprüche nicht wirksamer als geschehen</w:t>
      </w:r>
    </w:p>
    <w:p>
      <w:r>
        <w:t xml:space="preserve">hätten verteidigen können.</w:t>
      </w:r>
    </w:p>
    <w:p>
      <w:r>
        <w:t xml:space="preserve">Gemäß § 357 StPO ist die Schuldspruchänderung in den Fällen II 7-9</w:t>
      </w:r>
    </w:p>
    <w:p>
      <w:r>
        <w:t xml:space="preserve">auf die Mitangeklagten E. und W. und in den Fällen II 14 und 15 auf</w:t>
      </w:r>
    </w:p>
    <w:p>
      <w:r>
        <w:t xml:space="preserve">den Mitangeklagten E. zu erstrecken.</w:t>
      </w:r>
    </w:p>
    <w:p>
      <w:r>
        <w:t xml:space="preserve">5. Trotz der Schuldspruchänderungen können die festgesetzten Strafen</w:t>
      </w:r>
    </w:p>
    <w:p>
      <w:r>
        <w:t xml:space="preserve">bestehen bleiben. Der Senat kann im Hinblick auf die Vielzahl und den erhebli-</w:t>
      </w:r>
    </w:p>
    <w:p>
      <w:r>
        <w:t xml:space="preserve">chen Schuldgehalt der abgeurteilten Straftaten und die für die Bemessung der</w:t>
      </w:r>
    </w:p>
    <w:p>
      <w:r>
        <w:t xml:space="preserve">Jugendstrafen maßgeblichen erzieherischen Gründe (UA 15 ff., 19 ff., 46 ff.)</w:t>
      </w:r>
    </w:p>
    <w:p>
      <w:r>
        <w:t xml:space="preserve">- auch in Bezug auf die Mitangeklagten E. und W. - ausschließen,</w:t>
      </w:r>
    </w:p>
    <w:p>
      <w:r>
        <w:t xml:space="preserve">daß die Jugendkammer bei zutreffender rechtlicher Würdigung trotz der Straf-</w:t>
      </w:r>
    </w:p>
    <w:p>
      <w:r>
        <w:t xml:space="preserve">barkeit (nur) wegen (tateinheitlich begangenen) Versuchs im Fall II 15 und des</w:t>
      </w:r>
    </w:p>
    <w:p>
      <w:r>
        <w:t xml:space="preserve">niedrigeren Strafrahmens in § 315 c Abs. 1, 3 StGB (Fall II 21) auf geringere</w:t>
      </w:r>
    </w:p>
    <w:p>
      <w:r>
        <w:t xml:space="preserve">Jugendstrafen erkannt hätte. Soweit lediglich das Konkurrenzverhältnis anders</w:t>
      </w:r>
    </w:p>
    <w:p>
      <w:r>
        <w:t xml:space="preserve">zu beurteilen ist, wird dadurch der Unrechtsgehalt der Taten nicht berührt (vgl.</w:t>
      </w:r>
    </w:p>
    <w:p>
      <w:r>
        <w:t xml:space="preserve">BGH NStZ 1996, 296, 297).</w:t>
      </w:r>
    </w:p>
    <w:p>
      <w:r>
        <w:t xml:space="preserve">Zum Schuldgehalt der Diebstahlstaten ist im übrigen zu bemerken:</w:t>
      </w:r>
    </w:p>
    <w:p>
      <w:r>
        <w:t xml:space="preserve">Das Landgericht hat festgestellt, daß die Angeklagten und ihre Mittäter</w:t>
      </w:r>
    </w:p>
    <w:p>
      <w:r>
        <w:t xml:space="preserve">in allen Fällen die Bandendiebstähle unter den in § 243 Abs. 1 Satz 2 StGB</w:t>
      </w:r>
    </w:p>
    <w:p>
      <w:r>
        <w:t xml:space="preserve">genannten Voraussetzungen begangen haben. Daß die Angeklagten nicht we-</w:t>
      </w:r>
    </w:p>
    <w:p>
      <w:r>
        <w:t xml:space="preserve">gen schweren Bandendiebstahls nach § 244 a StGB, sondern nur wegen Ban-</w:t>
      </w:r>
    </w:p>
    <w:p>
      <w:r>
        <w:t xml:space="preserve">dendiebstahls (§ 244 Abs. 1 Nr. 3 StGB a.F.) verurteilt worden sind, ist rechts-</w:t>
      </w:r>
    </w:p>
    <w:p>
      <w:r>
        <w:t xml:space="preserve">fehlerhaft, beschwert die Angeklagten aber nicht.</w:t>
      </w:r>
    </w:p>
    <w:p>
      <w:r>
        <w:t xml:space="preserve">§ 244 a StGB gilt auch für Jugendbanden (s. LG Koblenz NStZ 1998,</w:t>
      </w:r>
    </w:p>
    <w:p>
      <w:r>
        <w:t xml:space="preserve">197 und den diese Entscheidung gemäß § 349 Abs. 2 StPO bestätigenden Be-</w:t>
      </w:r>
    </w:p>
    <w:p>
      <w:r>
        <w:t xml:space="preserve">schluß des BGH vom 20. August 1997 - 2 StR 306/97). Die von der Jugend-</w:t>
      </w:r>
    </w:p>
    <w:p>
      <w:r>
        <w:t xml:space="preserve">kammer vorgenommene Auslegung der Vorschrift - sie sei nach der ”Intention</w:t>
      </w:r>
    </w:p>
    <w:p>
      <w:r>
        <w:t xml:space="preserve">des Gesetzgebers” auf Jugendbanden nicht anwendbar (UA 44) - ist mit deren</w:t>
      </w:r>
    </w:p>
    <w:p>
      <w:r>
        <w:t xml:space="preserve">Wortlaut nicht vereinbar. Auch die Entstehungsgeschichte der Vorschrift und</w:t>
      </w:r>
    </w:p>
    <w:p>
      <w:r>
        <w:t xml:space="preserve">ihr Normzweck lassen eine "Intention des Gesetzgebers”, Jugendbanden aus</w:t>
      </w:r>
    </w:p>
    <w:p>
      <w:r>
        <w:t xml:space="preserve">dem Anwendungsbereich des § 244 a StGB herauszunehmen, nicht erkennen:</w:t>
      </w:r>
    </w:p>
    <w:p>
      <w:r>
        <w:t xml:space="preserve">§ 244 a StGB wurde durch das am 22. September 1992 in Kraft getretene Ge-</w:t>
      </w:r>
    </w:p>
    <w:p>
      <w:r>
        <w:t xml:space="preserve">setz zur Bekämpfung des illegalen Rauschgifthandels und anderer Erschei-</w:t>
      </w:r>
    </w:p>
    <w:p>
      <w:r>
        <w:t xml:space="preserve">nungsformen der Organisierten Kriminalität vom 15. Juli 1992 (BGBl. I 1302) in</w:t>
      </w:r>
    </w:p>
    <w:p>
      <w:r>
        <w:t xml:space="preserve">das StGB eingefügt. Der Gesetzgeber erhoffte sich durch die gegenüber dem</w:t>
      </w:r>
    </w:p>
    <w:p>
      <w:r>
        <w:t xml:space="preserve">Vergehenstatbestand des (”einfachen”) Bandendiebstahls gesteigerte Straf-</w:t>
      </w:r>
    </w:p>
    <w:p>
      <w:r>
        <w:t xml:space="preserve">drohung eine erhöhte Abschreckungswirkung und durch die Ausgestaltung der</w:t>
      </w:r>
    </w:p>
    <w:p>
      <w:r>
        <w:t xml:space="preserve">Vorschrift als Verbrechenstatbestand zugleich eine Vorverlagerung der Straf-</w:t>
      </w:r>
    </w:p>
    <w:p>
      <w:r>
        <w:t xml:space="preserve">barkeitsschwelle (vgl. BTDrucks. 12/989 S. 25; Zopfs GA 1995, 320; Eser in</w:t>
      </w:r>
    </w:p>
    <w:p>
      <w:r>
        <w:t xml:space="preserve">Schönke/Schröder StGB 25. Aufl. § 244 a Rdn. 1). Er hat das Problem der An-</w:t>
      </w:r>
    </w:p>
    <w:p>
      <w:r>
        <w:t xml:space="preserve">wendung auf Jugend-Diebesbanden erkannt und u.a. deswegen davon abge-</w:t>
      </w:r>
    </w:p>
    <w:p>
      <w:r>
        <w:t xml:space="preserve">sehen, den - ohne erschwerte Umstände begangenen - Bandendiebstahl</w:t>
      </w:r>
    </w:p>
    <w:p>
      <w:r>
        <w:t xml:space="preserve">(§ 244 Abs. 1 Nr. 3 StGB a.F.) allgemein als Verbrechenstatbestand umzuge-</w:t>
      </w:r>
    </w:p>
    <w:p>
      <w:r>
        <w:t xml:space="preserve">stalten, weil ”dann auch Gruppen von Straftätern erfaßt würden, die kaum dem</w:t>
      </w:r>
    </w:p>
    <w:p>
      <w:r>
        <w:t xml:space="preserve">Bereich der Organisierten Kriminalität zugerechnet werden können (z.B. Ju-</w:t>
      </w:r>
    </w:p>
    <w:p>
      <w:r>
        <w:t xml:space="preserve">gendliche, auch Schüler, die bandenmäßig Ladendiebstähle begehen)”</w:t>
      </w:r>
    </w:p>
    <w:p>
      <w:r>
        <w:t xml:space="preserve">(BTDrucks. a.a.O.). Der Verbrechenstatbestand des schweren Bandendieb-</w:t>
      </w:r>
    </w:p>
    <w:p>
      <w:r>
        <w:t xml:space="preserve">stahls sollte daher an zusätzliche Kriterien geknüpft werden. Wenn aber diese</w:t>
      </w:r>
    </w:p>
    <w:p>
      <w:r>
        <w:t xml:space="preserve">erfüllt sind und der Bandendiebstahl etwa unter den in § 243 Abs. 1 Satz 2</w:t>
      </w:r>
    </w:p>
    <w:p>
      <w:r>
        <w:t xml:space="preserve">StGB genannten Voraussetzungen begangen wird, findet § 244 a StGB auf alle</w:t>
      </w:r>
    </w:p>
    <w:p>
      <w:r>
        <w:t xml:space="preserve">Diebesbanden - auch Jugendbanden - Anwendung (kritisch Glandien NStZ</w:t>
      </w:r>
    </w:p>
    <w:p>
      <w:r>
        <w:t xml:space="preserve">1998, 197, 198; Kindhäuser in NK-StGB (1998) § 244 a Rdn. 2).</w:t>
      </w:r>
    </w:p>
    <w:p>
      <w:r>
        <w:t xml:space="preserve">6. Die Kostenentscheidung beruht auf § 473 Abs. 1 StGB. Der nur ge-</w:t>
      </w:r>
    </w:p>
    <w:p>
      <w:r>
        <w:t xml:space="preserve">ringfügige Erfolg der Revisionen rechtfertigt es nicht, die Angeklagten teilweise</w:t>
      </w:r>
    </w:p>
    <w:p>
      <w:r>
        <w:t xml:space="preserve">von den durch ihr Rechtsmittel entstandenen Kosten und Auslagen freizustel-</w:t>
      </w:r>
    </w:p>
    <w:p>
      <w:r>
        <w:t xml:space="preserve">len (vgl. Kleinknecht/Meyer-Goßner aaO § 473 Rdn. 25 f.). Eine Kostenfrei-</w:t>
      </w:r>
    </w:p>
    <w:p>
      <w:r>
        <w:t xml:space="preserve">stellung nach den §§ 74, 109 Abs. 2 JGG ist nicht veranlaßt.</w:t>
      </w:r>
    </w:p>
    <w:p>
      <w:r>
        <w:t xml:space="preserve">Meyer-Goßner Kuckein Athing</w:t>
      </w:r>
    </w:p>
    <w:p>
      <w:r>
        <w:t xml:space="preserve">(cid:0)(cid:2)(cid:1)(cid:4)(cid:3)(cid:6)(cid:5)(cid:8)(cid:7)(cid:10)(cid:9)(cid:11)(cid:0)(cid:13)(cid:12)(cid:14)(cid:1)(cid:16)(cid:15)(cid:18)(cid:17)(cid:19)(cid:7)(cid:10)(cid:1)(cid:21)(cid:20)(cid:22)(cid:5)(cid:24)(cid:23)</w:t>
      </w:r>
    </w:p>
    <w:p>
      <w:r>
        <w:t xml:space="preserve">(cid:25)(cid:27)(cid:26)(cid:28)(cid:7)(cid:10)(cid:29)(cid:19)(cid:30)(cid:31)(cid:17)(cid:19)(cid:7) (cid:7)</w:t>
      </w:r>
    </w:p>
    <w:p>
      <w:r>
        <w:rPr>
          <w:color w:val="555555"/>
          <w:sz w:val="17"/>
        </w:rPr>
        <w:t xml:space="preserve">Zitiervorschlag: BGH, Beschluß vom 06.06.2000 – 4 StR 91/00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https://recht.nulegal.eu/rechtsprechung/bgh/2000-06-06/4-str-91-00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Beschluß vom 06.06.2000 – 4 StR 91/00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