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06.04.2000 – 1 StR 280/99</w:t>
      </w:r>
    </w:p>
    <w:p>
      <w:r>
        <w:rPr>
          <w:color w:val="555555"/>
          <w:sz w:val="18"/>
        </w:rPr>
        <w:t xml:space="preserve">1. Strafsenat</w:t>
      </w:r>
    </w:p>
    <w:p>
      <w:pPr>
        <w:pStyle w:val="Heading2"/>
      </w:pPr>
      <w:r>
        <w:t xml:space="preserve">Leitsatz</w:t>
      </w:r>
    </w:p>
    <w:p>
      <w:r>
        <w:t xml:space="preserve">StGB § 266 Abs. 1 Die Wertung des Tatrichters, eine Kreditvergabe sei pflichtwidrig im Sinne des § 266 StGB, setzt eine umfassende Prüfung der wirtschaftlichen Verhältnisse des Kredit- nehmers, der beabsichtigten Verwendung des Kredits und der Einschätzung der Ri- siken durch die Entscheidungsträger voraus.</w:t>
      </w:r>
    </w:p>
    <w:p>
      <w:r>
        <w:t xml:space="preserve">Nachschlagewerk: ja</w:t>
      </w:r>
    </w:p>
    <w:p>
      <w:r>
        <w:t xml:space="preserve">BGHSt: ja</w:t>
      </w:r>
    </w:p>
    <w:p>
      <w:r>
        <w:t xml:space="preserve">Veröffentlichung: ja</w:t>
      </w:r>
    </w:p>
    <w:p>
      <w:r>
        <w:t xml:space="preserve">_____________________</w:t>
      </w:r>
    </w:p>
    <w:p>
      <w:r>
        <w:t xml:space="preserve">StGB § 266 Abs. 1</w:t>
      </w:r>
    </w:p>
    <w:p>
      <w:r>
        <w:t xml:space="preserve">Die Wertung des Tatrichters, eine Kreditvergabe sei pflichtwidrig im Sinne des § 266</w:t>
      </w:r>
    </w:p>
    <w:p>
      <w:r>
        <w:t xml:space="preserve">StGB, setzt eine umfassende Prüfung der wirtschaftlichen Verhältnisse des Kredit-</w:t>
      </w:r>
    </w:p>
    <w:p>
      <w:r>
        <w:t xml:space="preserve">nehmers, der beabsichtigten Verwendung des Kredits und der Einschätzung der Ri-</w:t>
      </w:r>
    </w:p>
    <w:p>
      <w:r>
        <w:t xml:space="preserve">siken durch die Entscheidungsträger voraus.</w:t>
      </w:r>
    </w:p>
    <w:p>
      <w:r>
        <w:t xml:space="preserve">BGH, Urt. vom 6. April 2000 - 1 StR 280/99 - LG Augsburg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1 StR 280/99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6. April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1.</w:t>
      </w:r>
    </w:p>
    <w:p>
      <w:r>
        <w:t xml:space="preserve">2.</w:t>
      </w:r>
    </w:p>
    <w:p>
      <w:r>
        <w:t xml:space="preserve">wegen Untreue</w:t>
      </w:r>
    </w:p>
    <w:p>
      <w:r>
        <w:t xml:space="preserve">Der 1. Strafsenat des Bundesgerichtshofs hat auf Grund der Verhandlung vom</w:t>
      </w:r>
    </w:p>
    <w:p>
      <w:r>
        <w:t xml:space="preserve">4. April 2000 in der Sitzung am 6. April 2000, an denen teilgenommen haben:</w:t>
      </w:r>
    </w:p>
    <w:p>
      <w:r>
        <w:t xml:space="preserve">Vorsitzender Richter am Bundesgerichtshof</w:t>
      </w:r>
    </w:p>
    <w:p>
      <w:r>
        <w:t xml:space="preserve">Dr. Schäfer</w:t>
      </w:r>
    </w:p>
    <w:p>
      <w:r>
        <w:t xml:space="preserve">und die Richter am Bundesgerichtshof</w:t>
      </w:r>
    </w:p>
    <w:p>
      <w:r>
        <w:t xml:space="preserve">Dr. Maul,</w:t>
      </w:r>
    </w:p>
    <w:p>
      <w:r>
        <w:t xml:space="preserve">Dr. Granderath,</w:t>
      </w:r>
    </w:p>
    <w:p>
      <w:r>
        <w:t xml:space="preserve">Dr. Boetticher,</w:t>
      </w:r>
    </w:p>
    <w:p>
      <w:r>
        <w:t xml:space="preserve">Schluckebier,</w:t>
      </w:r>
    </w:p>
    <w:p>
      <w:r>
        <w:t xml:space="preserve">Oberstaatsanwalt beim Bundesgerichtshof</w:t>
      </w:r>
    </w:p>
    <w:p>
      <w:r>
        <w:t xml:space="preserve">als Vertreter der Bundesanwaltschaft,</w:t>
      </w:r>
    </w:p>
    <w:p>
      <w:r>
        <w:t xml:space="preserve">Rechtsanwalt , Rechtsanwalt und</w:t>
      </w:r>
    </w:p>
    <w:p>
      <w:r>
        <w:t xml:space="preserve">als Verteidiger des Angeklagten Dr. B. ,</w:t>
      </w:r>
    </w:p>
    <w:p>
      <w:r>
        <w:t xml:space="preserve">- in der Verhandlung vom 4. April 2000 -</w:t>
      </w:r>
    </w:p>
    <w:p>
      <w:r>
        <w:t xml:space="preserve">Rechtsanwalt</w:t>
      </w:r>
    </w:p>
    <w:p>
      <w:r>
        <w:t xml:space="preserve">als Verteidiger des Angeklagten S. ,</w:t>
      </w:r>
    </w:p>
    <w:p>
      <w:r>
        <w:t xml:space="preserve">- in der Verhandlung vom 4. April 2000 -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Auf die Revisionen der Angeklagten wird das Urteil des Landge-</w:t>
      </w:r>
    </w:p>
    <w:p>
      <w:r>
        <w:t xml:space="preserve">richts Augsburg vom 29. September 1998 mit den Feststellungen</w:t>
      </w:r>
    </w:p>
    <w:p>
      <w:r>
        <w:t xml:space="preserve">aufgehoben, soweit die Angeklagten Dr. B. , S. und der frü-</w:t>
      </w:r>
    </w:p>
    <w:p>
      <w:r>
        <w:t xml:space="preserve">here Mitangeklagte St. verurteilt sind.</w:t>
      </w:r>
    </w:p>
    <w:p>
      <w:r>
        <w:t xml:space="preserve">Im Umfang der Aufhebung wird die Sache zu neuer Verhandlung</w:t>
      </w:r>
    </w:p>
    <w:p>
      <w:r>
        <w:t xml:space="preserve">und Entscheidung, auch über die Kosten der Rechtsmittel, an ei-</w:t>
      </w:r>
    </w:p>
    <w:p>
      <w:r>
        <w:t xml:space="preserve">ne andere Strafkammer des Landgerichts zurückverwiesen.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die Angeklagten wegen Untreue schuldig gespro-</w:t>
      </w:r>
    </w:p>
    <w:p>
      <w:r>
        <w:t xml:space="preserve">chen; Dr. B. wurde unter Vorbehalt der Verurteilung zu einer Geldstrafe ver-</w:t>
      </w:r>
    </w:p>
    <w:p>
      <w:r>
        <w:t xml:space="preserve">warnt, S. zu einer Freiheitsstrafe von acht Monaten bei Strafaussetzung</w:t>
      </w:r>
    </w:p>
    <w:p>
      <w:r>
        <w:t xml:space="preserve">zur Bewährung verurteilt. Ihre Revisionen haben mit der Sachrüge Erfolg; auf</w:t>
      </w:r>
    </w:p>
    <w:p>
      <w:r>
        <w:t xml:space="preserve">die vom Angeklagten Dr. B. erhobenen Verfahrensrügen kommt es nicht an.</w:t>
      </w:r>
    </w:p>
    <w:p>
      <w:r>
        <w:t xml:space="preserve">1. a) Die Angeklagten Dr. B. , S. und der frühere Mitangeklagte</w:t>
      </w:r>
    </w:p>
    <w:p>
      <w:r>
        <w:t xml:space="preserve">St. waren Vorstände der Sparkasse N. , Dr. B. Vorstandsvorsit-</w:t>
      </w:r>
    </w:p>
    <w:p>
      <w:r>
        <w:t xml:space="preserve">zender. Durch Vorstandsbeschluß vom 18. Juni 1991 erhöhten sie das Kredit-</w:t>
      </w:r>
    </w:p>
    <w:p>
      <w:r>
        <w:t xml:space="preserve">limit der Firma HR-Warenhandels GmbH und ihres alleinigen Gesellschafters,</w:t>
      </w:r>
    </w:p>
    <w:p>
      <w:r>
        <w:t xml:space="preserve">des Kaufmanns W. R. , die eine Kreditnehmereinheit nach § 19</w:t>
      </w:r>
    </w:p>
    <w:p>
      <w:r>
        <w:t xml:space="preserve">Abs. 2 KWG bildeten, um 2.980.000 DM. Die Mittel dienten dem Erwerb eines</w:t>
      </w:r>
    </w:p>
    <w:p>
      <w:r>
        <w:t xml:space="preserve">Lagers nicht mehr aktueller Textilien, das die Kreditnehmer weiterverkaufen</w:t>
      </w:r>
    </w:p>
    <w:p>
      <w:r>
        <w:t xml:space="preserve">wollten. Der Blankoanteil der Kreditgewährung betrug 1.779.900 DM, bei Be-</w:t>
      </w:r>
    </w:p>
    <w:p>
      <w:r>
        <w:t xml:space="preserve">rücksichtigung einer Zusatzsicherheit aus dem Warenlager 1.046.000 DM. Das</w:t>
      </w:r>
    </w:p>
    <w:p>
      <w:r>
        <w:t xml:space="preserve">Gesamtengagement der Sparkasse gegenüber den Kreditnehmern belief sich</w:t>
      </w:r>
    </w:p>
    <w:p>
      <w:r>
        <w:t xml:space="preserve">damit auf 4.281.600 DM; dem standen Sicherheiten von maximal 2.501.700 DM</w:t>
      </w:r>
    </w:p>
    <w:p>
      <w:r>
        <w:t xml:space="preserve">entgegen. Den Kreditnehmern gelang es in der Folgezeit nicht, das Warenla-</w:t>
      </w:r>
    </w:p>
    <w:p>
      <w:r>
        <w:t xml:space="preserve">ger zu verkaufen. Letztlich wurden die sicherungsübereigneten Waren zu ei-</w:t>
      </w:r>
    </w:p>
    <w:p>
      <w:r>
        <w:t xml:space="preserve">nem Erlös von lediglich 406.500 DM veräußert.</w:t>
      </w:r>
    </w:p>
    <w:p>
      <w:r>
        <w:t xml:space="preserve">b) Zu den Sicherheiten hat das Landgericht ausgeführt, daß gemäß § 9</w:t>
      </w:r>
    </w:p>
    <w:p>
      <w:r>
        <w:t xml:space="preserve">Nr. 3 SparkassenO ein Sicherheitsansatz von nur maximal 66 2/3 % des Ein-</w:t>
      </w:r>
    </w:p>
    <w:p>
      <w:r>
        <w:t xml:space="preserve">kaufspreises der Waren erlaubt gewesen wäre. Hinsichtlich der davon abwei-</w:t>
      </w:r>
    </w:p>
    <w:p>
      <w:r>
        <w:t xml:space="preserve">chenden, höheren Sicherheitsbewertung des Warenlagers wird den Angeklag-</w:t>
      </w:r>
    </w:p>
    <w:p>
      <w:r>
        <w:t xml:space="preserve">ten jedoch nicht angelastet, daß sie eine Gefährdung des Sparkassenvermö-</w:t>
      </w:r>
    </w:p>
    <w:p>
      <w:r>
        <w:t xml:space="preserve">gens billigend in Kauf genommen hätten.</w:t>
      </w:r>
    </w:p>
    <w:p>
      <w:r>
        <w:t xml:space="preserve">2. Den strafrechtlichen Vorwurf der Untreue leitet die Strafkammer dar-</w:t>
      </w:r>
    </w:p>
    <w:p>
      <w:r>
        <w:t xml:space="preserve">aus her, daß die drei Angeklagten gegen die Pflicht gemäß § 18 Satz 1 KWG</w:t>
      </w:r>
    </w:p>
    <w:p>
      <w:r>
        <w:t xml:space="preserve">verstoßen hätten, nach der sich die Bank von Kreditnehmern, denen Kredite</w:t>
      </w:r>
    </w:p>
    <w:p>
      <w:r>
        <w:t xml:space="preserve">von insgesamt mehr als 500.000 DM gewährt werden, die wirtschaftlichen Ver-</w:t>
      </w:r>
    </w:p>
    <w:p>
      <w:r>
        <w:t xml:space="preserve">hältnisse offenlegen lassen muß.</w:t>
      </w:r>
    </w:p>
    <w:p>
      <w:r>
        <w:t xml:space="preserve">a) Ein Verstoß gegen § 18 Satz 1 KWG kommt hier jedoch nur insoweit</w:t>
      </w:r>
    </w:p>
    <w:p>
      <w:r>
        <w:t xml:space="preserve">in Frage, als den Angeklagten der Jahresabschluß 1989 des Einzelkaufmanns</w:t>
      </w:r>
    </w:p>
    <w:p>
      <w:r>
        <w:t xml:space="preserve">W. R. bei ihrer Entscheidung nicht vorlag. Für das Geschäftsjahr</w:t>
      </w:r>
    </w:p>
    <w:p>
      <w:r>
        <w:t xml:space="preserve">1989 fand sich jedoch in der umfangreichen Beschlußvorlage für die Vor-</w:t>
      </w:r>
    </w:p>
    <w:p>
      <w:r>
        <w:t xml:space="preserve">standssitzung vom 18. Juni 1991, die das Urteil wörtlich mitteilt, die Informati-</w:t>
      </w:r>
    </w:p>
    <w:p>
      <w:r>
        <w:t xml:space="preserve">on, daß R. mit Schreiben seines Steuerberaters vom 6. Juli 1990 für das</w:t>
      </w:r>
    </w:p>
    <w:p>
      <w:r>
        <w:t xml:space="preserve">Jahr 1989 Provisionserlöse in Höhe von 230.000 DM attestiert wurden.</w:t>
      </w:r>
    </w:p>
    <w:p>
      <w:r>
        <w:t xml:space="preserve">Eine Verpflichtung, auch für das Jahr 1990 die Jahresabschlüsse der</w:t>
      </w:r>
    </w:p>
    <w:p>
      <w:r>
        <w:t xml:space="preserve">HR-Einzelhandels GmbH und der Einzelfirma beizuziehen, bestand dagegen</w:t>
      </w:r>
    </w:p>
    <w:p>
      <w:r>
        <w:t xml:space="preserve">nur, wenn diese tatsächlich bereits erstellt waren. Feststellungen dazu hat das</w:t>
      </w:r>
    </w:p>
    <w:p>
      <w:r>
        <w:t xml:space="preserve">Landgericht nicht getroffen. Zum Zeitpunkt der Entscheidung des Sparkassen-</w:t>
      </w:r>
    </w:p>
    <w:p>
      <w:r>
        <w:t xml:space="preserve">vorstandes mußten diese von den Kreditnehmern noch nicht erstellt sein (§ 264</w:t>
      </w:r>
    </w:p>
    <w:p>
      <w:r>
        <w:t xml:space="preserve">Abs. 1 Satz 3 HGB; § 243 Abs. 2 HGB - zu letzteren Baumbach/Hopt, HGB 29.</w:t>
      </w:r>
    </w:p>
    <w:p>
      <w:r>
        <w:t xml:space="preserve">Aufl. § 242 Rdn. 10); noch darüber hinausgehend hat das Bundesaufsichtsamt</w:t>
      </w:r>
    </w:p>
    <w:p>
      <w:r>
        <w:t xml:space="preserve">für das Kreditwesen in seinem - freilich späteren - Rundschreiben vom 7. Juli</w:t>
      </w:r>
    </w:p>
    <w:p>
      <w:r>
        <w:t xml:space="preserve">1998 den Hinweis gegeben, daß für kleine Kapitalgesellschaften im Sinne von</w:t>
      </w:r>
    </w:p>
    <w:p>
      <w:r>
        <w:t xml:space="preserve">§ 267 Abs. 1 HGB und sonstige nichtprüfungspflichtige, aber bilanzierungs-</w:t>
      </w:r>
    </w:p>
    <w:p>
      <w:r>
        <w:t xml:space="preserve">pflichtige Kreditnehmer eine Frist zur Vorlage der Jahresabschlüsse von zwölf</w:t>
      </w:r>
    </w:p>
    <w:p>
      <w:r>
        <w:t xml:space="preserve">Monaten gilt (mitgeteilt bei Nack in Müller-Gugenberger/Bieneck, Wirtschafts-</w:t>
      </w:r>
    </w:p>
    <w:p>
      <w:r>
        <w:t xml:space="preserve">strafrecht 3. Aufl. S. 1821, 1823).</w:t>
      </w:r>
    </w:p>
    <w:p>
      <w:r>
        <w:t xml:space="preserve">b) Unabhängig davon trägt die - hier allenfalls geringfügige - Verletzung</w:t>
      </w:r>
    </w:p>
    <w:p>
      <w:r>
        <w:t xml:space="preserve">der sich aus § 18 Satz 1 KWG ergebenden Informationspflicht für sich die An-</w:t>
      </w:r>
    </w:p>
    <w:p>
      <w:r>
        <w:t xml:space="preserve">nahme einer Pflichtverletzung im Sinne des § 266 StGB nicht (vgl. BGH, Urt.</w:t>
      </w:r>
    </w:p>
    <w:p>
      <w:r>
        <w:t xml:space="preserve">vom 31. Mai 1960 - 1 StR 106/60). Entscheidend dafür ist vielmehr, ob die Ent-</w:t>
      </w:r>
    </w:p>
    <w:p>
      <w:r>
        <w:t xml:space="preserve">scheidungsträger ihrer Prüfungs- und Informationspflicht bezüglich der Vermö-</w:t>
      </w:r>
    </w:p>
    <w:p>
      <w:r>
        <w:t xml:space="preserve">gensverhältnisse des Kreditnehmers insgesamt ausreichend nachgekommen</w:t>
      </w:r>
    </w:p>
    <w:p>
      <w:r>
        <w:t xml:space="preserve">sind. Aus der Nichtbeachtung oder Verletzung der Vorschrift des § 18 Satz 1</w:t>
      </w:r>
    </w:p>
    <w:p>
      <w:r>
        <w:t xml:space="preserve">KWG können sich freilich Anhaltspunkte dafür ergeben, daß dieser Pflicht nicht</w:t>
      </w:r>
    </w:p>
    <w:p>
      <w:r>
        <w:t xml:space="preserve">ausreichend Genüge getan wurde. Wird jedoch eine fehlende Information wie</w:t>
      </w:r>
    </w:p>
    <w:p>
      <w:r>
        <w:t xml:space="preserve">hier der fehlende Jahresabschluß 1989 durch andere, gleichwertige Informa-</w:t>
      </w:r>
    </w:p>
    <w:p>
      <w:r>
        <w:t xml:space="preserve">tionen ersetzt, liegt im Ergebnis eine Pflichtwidrigkeit nicht vor.</w:t>
      </w:r>
    </w:p>
    <w:p>
      <w:r>
        <w:t xml:space="preserve">c) Hier enthielt die sehr umfangreiche Beschlußvorlage für die Kredi-</w:t>
      </w:r>
    </w:p>
    <w:p>
      <w:r>
        <w:t xml:space="preserve">tentscheidung eine Vielzahl von Informationen zu den Einkommens- und Ver-</w:t>
      </w:r>
    </w:p>
    <w:p>
      <w:r>
        <w:t xml:space="preserve">mögensverhältnissen der Kreditnehmer. Danach war R. alleiniger Gesell-</w:t>
      </w:r>
    </w:p>
    <w:p>
      <w:r>
        <w:t xml:space="preserve">schafter der HR-Warenhandels GmbH mit einem eingezahlten Stammkapital</w:t>
      </w:r>
    </w:p>
    <w:p>
      <w:r>
        <w:t xml:space="preserve">von 300.000 DM. Wie bereits erwähnt, wurden ihm in einem Schreiben seines</w:t>
      </w:r>
    </w:p>
    <w:p>
      <w:r>
        <w:t xml:space="preserve">Steuerberaters vom 6. Juli 1990 für das Jahr 1989 Provisionserlöse in Höhe</w:t>
      </w:r>
    </w:p>
    <w:p>
      <w:r>
        <w:t xml:space="preserve">von 230.000 DM und für die Zeit vom 1. Januar bis 31. Mai 1990 in Höhe von</w:t>
      </w:r>
    </w:p>
    <w:p>
      <w:r>
        <w:t xml:space="preserve">331.000 DM attestiert. Nach eigenen Angaben hat er im Jahre 1990 aus einem</w:t>
      </w:r>
    </w:p>
    <w:p>
      <w:r>
        <w:t xml:space="preserve">Umsatz von 7,2 Mio. DM eine Provision von 10 % erzielt. Seinen bisherigen</w:t>
      </w:r>
    </w:p>
    <w:p>
      <w:r>
        <w:t xml:space="preserve">Verpflichtungen aus Bankverbindlichkeiten von über 2 Mio. DM war er bis da-</w:t>
      </w:r>
    </w:p>
    <w:p>
      <w:r>
        <w:t xml:space="preserve">hin ordnungsgemäß nachgekommen; einen Teil seiner Erlöse aus dem Jahre</w:t>
      </w:r>
    </w:p>
    <w:p>
      <w:r>
        <w:t xml:space="preserve">1990 hatte er in Sparkassenbriefen angelegt oder zur Erhöhung der Stam-</w:t>
      </w:r>
    </w:p>
    <w:p>
      <w:r>
        <w:t xml:space="preserve">meinlage der GmbH verwendet. Das sicherungsübereignete Warenlager war</w:t>
      </w:r>
    </w:p>
    <w:p>
      <w:r>
        <w:t xml:space="preserve">vorhanden und von dem Angeklagten S. besichtigt worden.</w:t>
      </w:r>
    </w:p>
    <w:p>
      <w:r>
        <w:t xml:space="preserve">Neben diesen Informationen aus der Beschlußvorlage hat das Landge-</w:t>
      </w:r>
    </w:p>
    <w:p>
      <w:r>
        <w:t xml:space="preserve">richt weiter festgestellt, es habe ein von einem Steuerberater erstellter Zwi-</w:t>
      </w:r>
    </w:p>
    <w:p>
      <w:r>
        <w:t xml:space="preserve">schenabschluß der GmbH für den Zeitraum vom 1. Juli bis 30. September 1990</w:t>
      </w:r>
    </w:p>
    <w:p>
      <w:r>
        <w:t xml:space="preserve">vorgelegen, der bei Umsatzerlösen von 243.000 DM einen Überschuß von</w:t>
      </w:r>
    </w:p>
    <w:p>
      <w:r>
        <w:t xml:space="preserve">151.000 DM ausweise. Bei einer Bilanzsumme von 541.000 DM betrug das</w:t>
      </w:r>
    </w:p>
    <w:p>
      <w:r>
        <w:t xml:space="preserve">Eigenkapital 100.000 DM, jedoch waren Forderungen gegen den Gesellschaf-</w:t>
      </w:r>
    </w:p>
    <w:p>
      <w:r>
        <w:t xml:space="preserve">ter in Höhe von 90.000 DM ausgewiesen. Das, was das Landgericht zu diesem</w:t>
      </w:r>
    </w:p>
    <w:p>
      <w:r>
        <w:t xml:space="preserve">Abschluß mitteilt, steht jedoch im Widerspruch zu der anderweitigen Feststel-</w:t>
      </w:r>
    </w:p>
    <w:p>
      <w:r>
        <w:t xml:space="preserve">lung des Urteils, daß die GmbH erst am 23. August 1990 gegründet wurde und</w:t>
      </w:r>
    </w:p>
    <w:p>
      <w:r>
        <w:t xml:space="preserve">daß laut Beschlußvorlage das eingezahlte Stammkapital 300.000 DM betrug.</w:t>
      </w:r>
    </w:p>
    <w:p>
      <w:r>
        <w:t xml:space="preserve">Das Landgericht geht auf diese zusätzlichen Informationen nicht ein.</w:t>
      </w:r>
    </w:p>
    <w:p>
      <w:r>
        <w:t xml:space="preserve">Das wäre jedoch in doppelter Hinsicht geboten gewesen. Einmal hätte sich aus</w:t>
      </w:r>
    </w:p>
    <w:p>
      <w:r>
        <w:t xml:space="preserve">dieser Prüfung ergeben können, daß der Vorstand der Sparkasse seiner Infor-</w:t>
      </w:r>
    </w:p>
    <w:p>
      <w:r>
        <w:t xml:space="preserve">mationspflicht ausreichend nachgekommen ist. Zum anderen erschienen die</w:t>
      </w:r>
    </w:p>
    <w:p>
      <w:r>
        <w:t xml:space="preserve">Informationen grundsätzlich geeignet, den Eindruck zu vermitteln, R. und</w:t>
      </w:r>
    </w:p>
    <w:p>
      <w:r>
        <w:t xml:space="preserve">seine H. R. Handels GmbH arbeiteten durchgehend mit Gewinn und kämen</w:t>
      </w:r>
    </w:p>
    <w:p>
      <w:r>
        <w:t xml:space="preserve">ihren Verpflichtungen ordnungsgemäß nach. Insbesondere die zuletzt ge-</w:t>
      </w:r>
    </w:p>
    <w:p>
      <w:r>
        <w:t xml:space="preserve">nannte Aussage hatte dabei Gewicht; sie stammte aus dem Wissen der Spar-</w:t>
      </w:r>
    </w:p>
    <w:p>
      <w:r>
        <w:t xml:space="preserve">kasse selbst und belegte, daß die erforderlichen Erlöse erzielt wurden, die be-</w:t>
      </w:r>
    </w:p>
    <w:p>
      <w:r>
        <w:t xml:space="preserve">reits bestehenden erheblichen Verbindlichkeiten zu bedienen. Demgegenüber</w:t>
      </w:r>
    </w:p>
    <w:p>
      <w:r>
        <w:t xml:space="preserve">führt das Landgericht Gründe, warum die Vorstandsmitglieder an der Richtig-</w:t>
      </w:r>
    </w:p>
    <w:p>
      <w:r>
        <w:t xml:space="preserve">keit der vom zuständigen Kreditsachbearbeiter zusammengetragenen Informa-</w:t>
      </w:r>
    </w:p>
    <w:p>
      <w:r>
        <w:t xml:space="preserve">tionen und dessen Beurteilung hätten zweifeln müssen, nicht an, auch wenn</w:t>
      </w:r>
    </w:p>
    <w:p>
      <w:r>
        <w:t xml:space="preserve">sich solche aus der Beschlußvorlage ergaben. Danach war es zu Kontoüber-</w:t>
      </w:r>
    </w:p>
    <w:p>
      <w:r>
        <w:t xml:space="preserve">ziehungen gekommen und der Weiterverkauf des Warenlagers konnte keines-</w:t>
      </w:r>
    </w:p>
    <w:p>
      <w:r>
        <w:t xml:space="preserve">falls als gesichert angesehen werden.</w:t>
      </w:r>
    </w:p>
    <w:p>
      <w:r>
        <w:t xml:space="preserve">Der Schluß, eine Kreditbewilligung sei pflichtwidrig gewesen, setzt aber</w:t>
      </w:r>
    </w:p>
    <w:p>
      <w:r>
        <w:t xml:space="preserve">voraus, daß sich das Tatgericht eingehend mit allen dafür maßgeblichen Um-</w:t>
      </w:r>
    </w:p>
    <w:p>
      <w:r>
        <w:t xml:space="preserve">ständen, insbesondere den Vermögensverhältnissen des Kreditnehmers, der</w:t>
      </w:r>
    </w:p>
    <w:p>
      <w:r>
        <w:t xml:space="preserve">beabsichtigten Verwendung des Kredits und den Aussichten des geplanten</w:t>
      </w:r>
    </w:p>
    <w:p>
      <w:r>
        <w:t xml:space="preserve">Geschäftes, auseinandersetzt. Daran fehlt es hier.</w:t>
      </w:r>
    </w:p>
    <w:p>
      <w:r>
        <w:t xml:space="preserve">Schon aus diesem Grunde kann das landgerichtliche Urteil daher keinen</w:t>
      </w:r>
    </w:p>
    <w:p>
      <w:r>
        <w:t xml:space="preserve">Bestand haben.</w:t>
      </w:r>
    </w:p>
    <w:p>
      <w:r>
        <w:t xml:space="preserve">3. Die Urteilsgründe geben Anlaß zu folgenden Hinweisen:</w:t>
      </w:r>
    </w:p>
    <w:p>
      <w:r>
        <w:t xml:space="preserve">a) Jede Kreditbewilligung ist ihrer Natur nach ein mit einem Risiko be-</w:t>
      </w:r>
    </w:p>
    <w:p>
      <w:r>
        <w:t xml:space="preserve">haftetes Geschäft (BGH wistra 1985, 190, 191). Bei einer Kreditvergabe sind</w:t>
      </w:r>
    </w:p>
    <w:p>
      <w:r>
        <w:t xml:space="preserve">auf der Grundlage umfassender Information diese Risiken gegen die sich dar-</w:t>
      </w:r>
    </w:p>
    <w:p>
      <w:r>
        <w:t xml:space="preserve">aus ergebenden Chancen abzuwägen. Ist diese Abwägung sorgfältig vorge-</w:t>
      </w:r>
    </w:p>
    <w:p>
      <w:r>
        <w:t xml:space="preserve">nommen worden, kann eine Pflichtverletzung nicht deshalb angenommen wer-</w:t>
      </w:r>
    </w:p>
    <w:p>
      <w:r>
        <w:t xml:space="preserve">den, weil das Engagement später notleidend wird.</w:t>
      </w:r>
    </w:p>
    <w:p>
      <w:r>
        <w:t xml:space="preserve">Tatsächliche Anhaltspunkte dafür, daß die Risikoprüfung nicht ausrei-</w:t>
      </w:r>
    </w:p>
    <w:p>
      <w:r>
        <w:t xml:space="preserve">chend vorgenommen worden ist, können sich nach der Erfahrung des Senats</w:t>
      </w:r>
    </w:p>
    <w:p>
      <w:r>
        <w:t xml:space="preserve">insbesondere daraus ergeben, daß</w:t>
      </w:r>
    </w:p>
    <w:p>
      <w:r>
        <w:t xml:space="preserve">- die Informationspflichten vernachlässigt wurden;</w:t>
      </w:r>
    </w:p>
    <w:p>
      <w:r>
        <w:t xml:space="preserve">- die Entscheidungsträger nicht die erforderliche Befugnis besaßen;</w:t>
      </w:r>
    </w:p>
    <w:p>
      <w:r>
        <w:t xml:space="preserve">- im Zusammenhang mit der Kreditgewährung unrichtige oder unvoll-</w:t>
      </w:r>
    </w:p>
    <w:p>
      <w:r>
        <w:t xml:space="preserve">ständige Angaben gegenüber Mitverantwortlichen oder zur Aufsicht</w:t>
      </w:r>
    </w:p>
    <w:p>
      <w:r>
        <w:t xml:space="preserve">befugten oder berechtigten Personen gemacht werden;</w:t>
      </w:r>
    </w:p>
    <w:p>
      <w:r>
        <w:t xml:space="preserve">- die vorgegebenen Zwecke nicht eingehalten wurden;</w:t>
      </w:r>
    </w:p>
    <w:p>
      <w:r>
        <w:t xml:space="preserve">- die Höchstkreditgrenzen überschritten wurden;</w:t>
      </w:r>
    </w:p>
    <w:p>
      <w:r>
        <w:t xml:space="preserve">- die Entscheidungsträger eigennützig handelten.</w:t>
      </w:r>
    </w:p>
    <w:p>
      <w:r>
        <w:t xml:space="preserve">b) Auch wenn eine Pflichtverletzung vorliegt und der Kredit später not-</w:t>
      </w:r>
    </w:p>
    <w:p>
      <w:r>
        <w:t xml:space="preserve">leidend wird, führt dies allein noch nicht zur Annahme einer Untreue. Voraus-</w:t>
      </w:r>
    </w:p>
    <w:p>
      <w:r>
        <w:t xml:space="preserve">setzung wäre, daß ein bei Vertragsschluß oder bei Darlehensausreichung in</w:t>
      </w:r>
    </w:p>
    <w:p>
      <w:r>
        <w:t xml:space="preserve">Gestalt einer Vermögensgefährdung eingetretener Vermögensnachteil auf die</w:t>
      </w:r>
    </w:p>
    <w:p>
      <w:r>
        <w:t xml:space="preserve">Pflichtwidrigkeit zurückzuführen ist. Ist danach etwa die erforderliche Befugnis</w:t>
      </w:r>
    </w:p>
    <w:p>
      <w:r>
        <w:t xml:space="preserve">der Entscheidungsträger nicht vorhanden, steht die Bonität des Kreditnehmers</w:t>
      </w:r>
    </w:p>
    <w:p>
      <w:r>
        <w:t xml:space="preserve">aber außer Zweifel, fehlt es an diesem Zusammenhang (BGH wistra 1989,</w:t>
      </w:r>
    </w:p>
    <w:p>
      <w:r>
        <w:t xml:space="preserve">142).</w:t>
      </w:r>
    </w:p>
    <w:p>
      <w:r>
        <w:t xml:space="preserve">c) Für die Feststellung des subjektiven Tatbestandes sind gleichfalls</w:t>
      </w:r>
    </w:p>
    <w:p>
      <w:r>
        <w:t xml:space="preserve">eingehende Erörterungen erforderlich. Ohne sie sind Rückschlüsse auf den</w:t>
      </w:r>
    </w:p>
    <w:p>
      <w:r>
        <w:t xml:space="preserve">Vorsatz nicht möglich (BGH NJW 1979, 1512). Dabei ist zu beachten, daß der</w:t>
      </w:r>
    </w:p>
    <w:p>
      <w:r>
        <w:t xml:space="preserve">Entscheidungsträger eine über das allgemeine Risiko bei Kreditgeschäften</w:t>
      </w:r>
    </w:p>
    <w:p>
      <w:r>
        <w:t xml:space="preserve">hinausgehende Gefährdung des Rückzahlungsanspruchs der Bank erkannt</w:t>
      </w:r>
    </w:p>
    <w:p>
      <w:r>
        <w:t xml:space="preserve">und gebilligt haben muß. Bei Bankvorständen und Bankmitarbeitern versteht</w:t>
      </w:r>
    </w:p>
    <w:p>
      <w:r>
        <w:t xml:space="preserve">sich das auch bei problematischen Kreditvergaben jedoch nicht von selbst (vgl.</w:t>
      </w:r>
    </w:p>
    <w:p>
      <w:r>
        <w:t xml:space="preserve">BGH wistra 2000, 60), wenn nicht die bereits angeführten Anhaltspunkte für</w:t>
      </w:r>
    </w:p>
    <w:p>
      <w:r>
        <w:t xml:space="preserve">eine Pflichtverletzung vorliegen. Vielmehr ist eine sorgfältige und strenge Prü-</w:t>
      </w:r>
    </w:p>
    <w:p>
      <w:r>
        <w:t xml:space="preserve">fung der Frage erforderlich, ob - zumindest - bedingt vorsätzliches Verhalten</w:t>
      </w:r>
    </w:p>
    <w:p>
      <w:r>
        <w:t xml:space="preserve">tatsächlich vorliegt. Zu unterscheiden ist zwischen den begrifflichen Vorausset-</w:t>
      </w:r>
    </w:p>
    <w:p>
      <w:r>
        <w:t xml:space="preserve">zungen des dolus eventualis und den Anforderungen, die an seinen Beweis zu</w:t>
      </w:r>
    </w:p>
    <w:p>
      <w:r>
        <w:t xml:space="preserve">stellen sind (vgl. Cramer in Schönke/Schröder, 26. Aufl. § 15 Rdn. 87). Dabei</w:t>
      </w:r>
    </w:p>
    <w:p>
      <w:r>
        <w:t xml:space="preserve">soll nach den dazu entwickelten Grundsätzen die Annahme einer Billigung des</w:t>
      </w:r>
    </w:p>
    <w:p>
      <w:r>
        <w:t xml:space="preserve">Erfolges beweisrechtlich naheliegen, wenn der Täter ein Vorhaben trotz äußer-</w:t>
      </w:r>
    </w:p>
    <w:p>
      <w:r>
        <w:t xml:space="preserve">ster Gefährlichkeit durchführt; in solchen Fällen soll er sich nicht auf die vage</w:t>
      </w:r>
    </w:p>
    <w:p>
      <w:r>
        <w:t xml:space="preserve">Hoffnung berufen können, jene Gefahr werde sich wider Erwarten doch nicht</w:t>
      </w:r>
    </w:p>
    <w:p>
      <w:r>
        <w:t xml:space="preserve">verwirklichen (st. Rspr.; vgl. z.B. BGH NStZ 1984, 19; 1986, 550). Doch können</w:t>
      </w:r>
    </w:p>
    <w:p>
      <w:r>
        <w:t xml:space="preserve">derartige Umschreibungen, die weitgehend für den Bereich der Tötungsdelikte</w:t>
      </w:r>
    </w:p>
    <w:p>
      <w:r>
        <w:t xml:space="preserve">entwickelt worden sind, nicht formelhaft auf Fälle offener, mehrdeutiger Ge-</w:t>
      </w:r>
    </w:p>
    <w:p>
      <w:r>
        <w:t xml:space="preserve">schehen angewendet werden (BGHR StGB § 15 Vorsatz, bedingter 8; vgl. auch</w:t>
      </w:r>
    </w:p>
    <w:p>
      <w:r>
        <w:t xml:space="preserve">BGHSt 36, 1, 9). Der Grad der Wahrscheinlichkeit eines Erfolgseintritts allein</w:t>
      </w:r>
    </w:p>
    <w:p>
      <w:r>
        <w:t xml:space="preserve">kann kein Kriterium für die Entscheidung der Frage sein, ob der Angeklagte mit</w:t>
      </w:r>
    </w:p>
    <w:p>
      <w:r>
        <w:t xml:space="preserve">dem Erfolg auch einverstanden war. Es kommt vielmehr immer auf die Umstän-</w:t>
      </w:r>
    </w:p>
    <w:p>
      <w:r>
        <w:t xml:space="preserve">de des Einzelfalles an, bei denen insbesondere die Motive und die Interessen-</w:t>
      </w:r>
    </w:p>
    <w:p>
      <w:r>
        <w:t xml:space="preserve">lage des Angeklagten zu beachten sind (BGHR StGB § 15 Vorsatz, bedingter</w:t>
      </w:r>
    </w:p>
    <w:p>
      <w:r>
        <w:t xml:space="preserve">1; StPO § 127 Festnahme 1).</w:t>
      </w:r>
    </w:p>
    <w:p>
      <w:r>
        <w:t xml:space="preserve">d) Wird die Entscheidung über eine Kreditvergabe wie hier von einem</w:t>
      </w:r>
    </w:p>
    <w:p>
      <w:r>
        <w:t xml:space="preserve">mehrköpfigen Gremium getroffen, kommen auch für den Fall des Einstimmig-</w:t>
      </w:r>
    </w:p>
    <w:p>
      <w:r>
        <w:t xml:space="preserve">keitsprinzips unterschiedliche Verantwortlichkeiten der Beteiligten in Frage. So</w:t>
      </w:r>
    </w:p>
    <w:p>
      <w:r>
        <w:t xml:space="preserve">wird sich der Vorstandsvorsitzende, es sei denn, es gehe um besonders hohe</w:t>
      </w:r>
    </w:p>
    <w:p>
      <w:r>
        <w:t xml:space="preserve">Risiken, auf den Bericht des Kreditsachbearbeiters und des Kreditvorstandes</w:t>
      </w:r>
    </w:p>
    <w:p>
      <w:r>
        <w:t xml:space="preserve">verlassen dürfen. Nur wenn sich daraus Zweifel oder Unstimmigkeiten erge-</w:t>
      </w:r>
    </w:p>
    <w:p>
      <w:r>
        <w:t xml:space="preserve">ben, ist Rückfrage oder eigene Nachprüfung geboten. Das gleiche gilt für wei-</w:t>
      </w:r>
    </w:p>
    <w:p>
      <w:r>
        <w:t xml:space="preserve">tere Beteiligte wie die Mitglieder eines Kreditausschusses.</w:t>
      </w:r>
    </w:p>
    <w:p>
      <w:r>
        <w:t xml:space="preserve">4. Gemäß § 357 StPO war die Aufhebung des Urteils auf den früheren</w:t>
      </w:r>
    </w:p>
    <w:p>
      <w:r>
        <w:t xml:space="preserve">Mitangeklagten St. zu erstrecken, der keine Revision eingelegt hatte.</w:t>
      </w:r>
    </w:p>
    <w:p>
      <w:r>
        <w:t xml:space="preserve">In Anbetracht der Tatsache, daß die den Angeklagten vorgeworfene Tat</w:t>
      </w:r>
    </w:p>
    <w:p>
      <w:r>
        <w:t xml:space="preserve">fast neun Jahre zurückliegt und schon das Landgericht die Schuld der Ange-</w:t>
      </w:r>
    </w:p>
    <w:p>
      <w:r>
        <w:t xml:space="preserve">klagten im einzelnen zwar unterschiedlich, aber insgesamt eher gering einge-</w:t>
      </w:r>
    </w:p>
    <w:p>
      <w:r>
        <w:t xml:space="preserve">stuft hat, liegt eine Sachbehandlung nach § 153 oder § 153a StPO nahe.</w:t>
      </w:r>
    </w:p>
    <w:p>
      <w:r>
        <w:t xml:space="preserve">Schäfer Maul Granderath</w:t>
      </w:r>
    </w:p>
    <w:p>
      <w:r>
        <w:t xml:space="preserve">Boetticher Schluckebier</w:t>
      </w:r>
    </w:p>
    <w:p>
      <w:r>
        <w:rPr>
          <w:color w:val="555555"/>
          <w:sz w:val="17"/>
        </w:rPr>
        <w:t xml:space="preserve">Zitiervorschlag: BGH, Urteil vom 06.04.2000 – 1 StR 280/99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https://recht.nulegal.eu/rechtsprechung/bgh/2000-04-06/1-str-280-99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06.04.2000 – 1 StR 280/99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