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05.04.2000 – 3 StR 75/00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3 StR 75/00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5. April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schwerer räuberischer Erpressung u.a.</w:t>
      </w:r>
    </w:p>
    <w:p>
      <w:r>
        <w:t xml:space="preserve">Der 3. Strafsenat des Bundesgerichtshofs hat auf Antrag des Generalbun-</w:t>
      </w:r>
    </w:p>
    <w:p>
      <w:r>
        <w:t xml:space="preserve">desanwalts und nach Anhörung des Beschwerdeführers am 5. April 2000</w:t>
      </w:r>
    </w:p>
    <w:p>
      <w:r>
        <w:t xml:space="preserve">einstimmig beschlossen:</w:t>
      </w:r>
    </w:p>
    <w:p>
      <w:r>
        <w:t xml:space="preserve">Die Revision des Angeklagten gegen das Urteil des Landge-</w:t>
      </w:r>
    </w:p>
    <w:p>
      <w:r>
        <w:t xml:space="preserve">richts Osnabrück vom 18. August 1999 wird mit der Maßgabe</w:t>
      </w:r>
    </w:p>
    <w:p>
      <w:r>
        <w:t xml:space="preserve">als unbegründet verworfen, daß im Urteilstenor die Worte "we-</w:t>
      </w:r>
    </w:p>
    <w:p>
      <w:r>
        <w:t xml:space="preserve">gen Diebstahls in zwei Fällen" durch die Formulierung "wegen</w:t>
      </w:r>
    </w:p>
    <w:p>
      <w:r>
        <w:t xml:space="preserve">Diebstahls in drei Fällen" ersetzt werden. Im übrigen hat die</w:t>
      </w:r>
    </w:p>
    <w:p>
      <w:r>
        <w:t xml:space="preserve">Nachprüfung des Urteils auf Grund der Revisionsrechtfertigung</w:t>
      </w:r>
    </w:p>
    <w:p>
      <w:r>
        <w:t xml:space="preserve">keinen Rechtsfehler zum Nachteil des Angeklagten ergeben</w:t>
      </w:r>
    </w:p>
    <w:p>
      <w:r>
        <w:t xml:space="preserve">(§ 349 Abs. 2 StPO).</w:t>
      </w:r>
    </w:p>
    <w:p>
      <w:r>
        <w:t xml:space="preserve">Der Beschwerdeführer hat die Kosten des Rechtsmittels zu</w:t>
      </w:r>
    </w:p>
    <w:p>
      <w:r>
        <w:t xml:space="preserve">tragen.</w:t>
      </w:r>
    </w:p>
    <w:p>
      <w:pPr>
        <w:pStyle w:val="Heading2"/>
      </w:pPr>
      <w:r>
        <w:t xml:space="preserve">Gründe</w:t>
      </w:r>
    </w:p>
    <w:p>
      <w:r>
        <w:t xml:space="preserve">Der Generalbundesanwalt hat in seiner Stellungnahme vom 14. Februar</w:t>
      </w:r>
    </w:p>
    <w:p>
      <w:r>
        <w:t xml:space="preserve">2000 zu der Berichtigung der Urteilsformel ausgeführt:</w:t>
      </w:r>
    </w:p>
    <w:p>
      <w:r>
        <w:t xml:space="preserve">"Die beantragte Berichtigung der Urteilsformel ist deswegen geboten</w:t>
      </w:r>
    </w:p>
    <w:p>
      <w:r>
        <w:t xml:space="preserve">und in entsprechender Anwendung von § 354 Abs. 1 StPO möglich (BGH, Be-</w:t>
      </w:r>
    </w:p>
    <w:p>
      <w:r>
        <w:t xml:space="preserve">schluss vom 29. April 1999 - 5 StR 131/99 -), weil infolge eines offensichtlichen</w:t>
      </w:r>
    </w:p>
    <w:p>
      <w:r>
        <w:t xml:space="preserve">Versehens in den Urteilstenor anstatt dreier Diebstähle (von denen einer im</w:t>
      </w:r>
    </w:p>
    <w:p>
      <w:r>
        <w:t xml:space="preserve">Versuchsstadium steckengeblieben ist) lediglich zwei Diebstähle aufgenommen</w:t>
      </w:r>
    </w:p>
    <w:p>
      <w:r>
        <w:t xml:space="preserve">worden sind. Das ergibt sich eindeutig daraus,</w:t>
      </w:r>
    </w:p>
    <w:p>
      <w:r>
        <w:t xml:space="preserve">- dass - in Übereinstimmung mit der Anklageschrift vom 21. Oktober 1998</w:t>
      </w:r>
    </w:p>
    <w:p>
      <w:r>
        <w:t xml:space="preserve">- 11 Js 35173/98 - (Bd. II Bl. 80ff. d.A., vgl. dort die Fälle 1, 2 und 4) - auf</w:t>
      </w:r>
    </w:p>
    <w:p>
      <w:r>
        <w:t xml:space="preserve">den Seiten 6, 8, und 9 des Urteils (als Fälle 1, 3 und 4 der Urteilsgründe)</w:t>
      </w:r>
    </w:p>
    <w:p>
      <w:r>
        <w:t xml:space="preserve">drei Diebstahlstaten geschildert werden,</w:t>
      </w:r>
    </w:p>
    <w:p>
      <w:r>
        <w:t xml:space="preserve">- dass auf den Seiten 14 und 15 des Urteils die Beweisgrundlage mitgeteilt</w:t>
      </w:r>
    </w:p>
    <w:p>
      <w:r>
        <w:t xml:space="preserve">wird, die der Strafkammer die Überzeugung von der Richtigkeit der zu den in</w:t>
      </w:r>
    </w:p>
    <w:p>
      <w:r>
        <w:t xml:space="preserve">Rede stehenden Fällen getroffenen Feststellungen verschafft hat,</w:t>
      </w:r>
    </w:p>
    <w:p>
      <w:r>
        <w:t xml:space="preserve">- dass auf den Seiten 18 und 19 des Urteils alle drei Diebstähle rechtlich (zu-</w:t>
      </w:r>
    </w:p>
    <w:p>
      <w:r>
        <w:t xml:space="preserve">treffend) gewürdigt werden und</w:t>
      </w:r>
    </w:p>
    <w:p>
      <w:r>
        <w:t xml:space="preserve">- dass für jeden von ihnen auf den Seiten 21 und 22 des Urteils Einzelstrafen</w:t>
      </w:r>
    </w:p>
    <w:p>
      <w:r>
        <w:t xml:space="preserve">festgesetzt worden sind, die Eingang in die Gesamtstrafe (S. 22 unten des</w:t>
      </w:r>
    </w:p>
    <w:p>
      <w:r>
        <w:t xml:space="preserve">Urteils) gefunden haben."</w:t>
      </w:r>
    </w:p>
    <w:p>
      <w:r>
        <w:t xml:space="preserve">Dem folgt der Senat.</w:t>
      </w:r>
    </w:p>
    <w:p>
      <w:r>
        <w:t xml:space="preserve">Die Auferlegung der der Geschädigten</w:t>
      </w:r>
    </w:p>
    <w:p>
      <w:r>
        <w:t xml:space="preserve">G.</w:t>
      </w:r>
    </w:p>
    <w:p>
      <w:r>
        <w:t xml:space="preserve">im Re-</w:t>
      </w:r>
    </w:p>
    <w:p>
      <w:r>
        <w:t xml:space="preserve">visionsverfahren entstandenen notwendigen Auslagen kommt nicht in Betracht,</w:t>
      </w:r>
    </w:p>
    <w:p>
      <w:r>
        <w:t xml:space="preserve">da keine zum Anschluß als Nebenkläger berechtigende Tat Gegenstand des</w:t>
      </w:r>
    </w:p>
    <w:p>
      <w:r>
        <w:t xml:space="preserve">Verfahrens ist. Die gleichwohl und entgegen einem ausdrücklichen Hinweis der</w:t>
      </w:r>
    </w:p>
    <w:p>
      <w:r>
        <w:t xml:space="preserve">Staatsanwaltschaft (Bd. II Bl. 105 R d. SA) erfolgte Zulassung durch Beschluß</w:t>
      </w:r>
    </w:p>
    <w:p>
      <w:r>
        <w:t xml:space="preserve">des Amtsgerichts Osnabrück vom 24. November 1998 konnte eine wirksame</w:t>
      </w:r>
    </w:p>
    <w:p>
      <w:r>
        <w:t xml:space="preserve">Nebenklägerstellung nicht begründen (vgl. BGH, Beschl. vom 15. September</w:t>
      </w:r>
    </w:p>
    <w:p>
      <w:r>
        <w:t xml:space="preserve">1995 - 3 StR 328/95).</w:t>
      </w:r>
    </w:p>
    <w:p>
      <w:r>
        <w:t xml:space="preserve">Kutzer Rissing-van Saan Miebach</w:t>
      </w:r>
    </w:p>
    <w:p>
      <w:r>
        <w:t xml:space="preserve">Winkler von Lienen</w:t>
      </w:r>
    </w:p>
    <w:p>
      <w:r>
        <w:rPr>
          <w:color w:val="555555"/>
          <w:sz w:val="17"/>
        </w:rPr>
        <w:t xml:space="preserve">Zitiervorschlag: BGH, Beschluss vom 05.04.2000 – 3 StR 75/00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https://recht.nulegal.eu/rechtsprechung/bgh/2000-04-05/3-str-75-00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05.04.2000 – 3 StR 75/00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