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Beschluß vom 21.03.2000 – 4 StR 43/00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4 StR 43/00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März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versuchten schweren Raubes u.a.</w:t>
      </w:r>
    </w:p>
    <w:p>
      <w:r>
        <w:t xml:space="preserve">Der 4. Strafsenat des Bundesgerichtshofs hat auf Antrag des Generalbun-</w:t>
      </w:r>
    </w:p>
    <w:p>
      <w:r>
        <w:t xml:space="preserve">desanwalts und nach Anhörung des Beschwerdeführers am 21. März 2000</w:t>
      </w:r>
    </w:p>
    <w:p>
      <w:r>
        <w:t xml:space="preserve">gemäß § 349 Abs. 2 und 4 StPO beschlossen:</w:t>
      </w:r>
    </w:p>
    <w:p>
      <w:r>
        <w:t xml:space="preserve">1.</w:t>
      </w:r>
    </w:p>
    <w:p>
      <w:r>
        <w:t xml:space="preserve">Auf die Revision des Angeklagten wird das Urteil des</w:t>
      </w:r>
    </w:p>
    <w:p>
      <w:r>
        <w:t xml:space="preserve">Landgerichts Essen vom 5. Juli 1999 im Strafausspruch</w:t>
      </w:r>
    </w:p>
    <w:p>
      <w:r>
        <w:t xml:space="preserve">aufgehoben, soweit die Entscheidung über die Bildung ei-</w:t>
      </w:r>
    </w:p>
    <w:p>
      <w:r>
        <w:t xml:space="preserve">ner Gesamtstrafe unterblieben ist.</w:t>
      </w:r>
    </w:p>
    <w:p>
      <w:r>
        <w:t xml:space="preserve">2.</w:t>
      </w:r>
    </w:p>
    <w:p>
      <w:r>
        <w:t xml:space="preserve">Im Umfang der Aufhebung wird die Sache zu neuer Ver-</w:t>
      </w:r>
    </w:p>
    <w:p>
      <w:r>
        <w:t xml:space="preserve">handlung und Entscheidung, auch über die Kosten des</w:t>
      </w:r>
    </w:p>
    <w:p>
      <w:r>
        <w:t xml:space="preserve">Rechtsmittels, an eine andere Strafkammer des Landge-</w:t>
      </w:r>
    </w:p>
    <w:p>
      <w:r>
        <w:t xml:space="preserve">richts zurückverwiesen.</w:t>
      </w:r>
    </w:p>
    <w:p>
      <w:r>
        <w:t xml:space="preserve">3.</w:t>
      </w:r>
    </w:p>
    <w:p>
      <w:r>
        <w:t xml:space="preserve">Die weiter gehende Revision wird verworfen.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"versuchten schweren</w:t>
      </w:r>
    </w:p>
    <w:p>
      <w:r>
        <w:t xml:space="preserve">Raubes in Tateinheit mit versuchter gefährlicher Körperverletzung und Körper-</w:t>
      </w:r>
    </w:p>
    <w:p>
      <w:r>
        <w:t xml:space="preserve">verletzung" zu einer Freiheitsstrafe von zwei Jahren und sechs Monaten ver-</w:t>
      </w:r>
    </w:p>
    <w:p>
      <w:r>
        <w:t xml:space="preserve">urteilt und seine Unterbringung in einem psychiatrischen Krankenhaus ange-</w:t>
      </w:r>
    </w:p>
    <w:p>
      <w:r>
        <w:t xml:space="preserve">ordnet.</w:t>
      </w:r>
    </w:p>
    <w:p>
      <w:r>
        <w:t xml:space="preserve">Die Revision des Angeklagten, mit der er die Verletzung materiellen</w:t>
      </w:r>
    </w:p>
    <w:p>
      <w:r>
        <w:t xml:space="preserve">Rechts rügt, hat nur insoweit Erfolg, als die Bildung einer Gesamtstrafe nicht</w:t>
      </w:r>
    </w:p>
    <w:p>
      <w:r>
        <w:t xml:space="preserve">geprüft wurde; im übrigen ist das Rechtsmittel unbegründet im Sinne des § 349</w:t>
      </w:r>
    </w:p>
    <w:p>
      <w:r>
        <w:t xml:space="preserve">Abs. 2 StPO.</w:t>
      </w:r>
    </w:p>
    <w:p>
      <w:r>
        <w:t xml:space="preserve">Nach den Feststellungen wurde der Angeklagte am 20. April 1999 - also</w:t>
      </w:r>
    </w:p>
    <w:p>
      <w:r>
        <w:t xml:space="preserve">nach der hier abgeurteilten Tat - durch Urteil des Landgerichts Essen zu einer</w:t>
      </w:r>
    </w:p>
    <w:p>
      <w:r>
        <w:t xml:space="preserve">Freiheitsstrafe von einem Jahr mit Strafaussetzung zur Bewährung verurteilt.</w:t>
      </w:r>
    </w:p>
    <w:p>
      <w:r>
        <w:t xml:space="preserve">Gemäß § 55 Abs. 1 StGB i.V.m. den §§ 53, 54 StGB kam daher eine nachträg-</w:t>
      </w:r>
    </w:p>
    <w:p>
      <w:r>
        <w:t xml:space="preserve">liche Gesamtstrafenbildung in Betracht. Hierzu äußert sich das angefochtene</w:t>
      </w:r>
    </w:p>
    <w:p>
      <w:r>
        <w:t xml:space="preserve">Urteil nicht. Da der Angeklagte durch die unterbliebene Gesamtstrafenbildung</w:t>
      </w:r>
    </w:p>
    <w:p>
      <w:r>
        <w:t xml:space="preserve">beschwert sein kann und die Bildung einer Gesamtstrafe grundsätzlich nicht</w:t>
      </w:r>
    </w:p>
    <w:p>
      <w:r>
        <w:t xml:space="preserve">dem Beschlußverfahren nach § 460 StPO überlassen bleiben darf (vgl. BGHSt</w:t>
      </w:r>
    </w:p>
    <w:p>
      <w:r>
        <w:t xml:space="preserve">12, 1, 5 f.; BGH, Beschluß vom 2. Februar 1999 - 1 StR 3/99), muß das Urteil</w:t>
      </w:r>
    </w:p>
    <w:p>
      <w:r>
        <w:t xml:space="preserve">insoweit aufgehoben werden.</w:t>
      </w:r>
    </w:p>
    <w:p>
      <w:r>
        <w:t xml:space="preserve">Die dem Strafausspruch zugrundeliegenden Feststellungen können be-</w:t>
      </w:r>
    </w:p>
    <w:p>
      <w:r>
        <w:t xml:space="preserve">stehen bleiben; ergänzende Feststellungen sind zulässig.</w:t>
      </w:r>
    </w:p>
    <w:p>
      <w:r>
        <w:t xml:space="preserve">Meyer-Goßner Maatz Kuckein</w:t>
      </w:r>
    </w:p>
    <w:p>
      <w:r>
        <w:t xml:space="preserve">Athing Ernemann</w:t>
      </w:r>
    </w:p>
    <w:p>
      <w:r>
        <w:rPr>
          <w:color w:val="555555"/>
          <w:sz w:val="17"/>
        </w:rPr>
        <w:t xml:space="preserve">Zitiervorschlag: BGH, Beschluß vom 21.03.2000 – 4 StR 43/00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https://recht.nulegal.eu/rechtsprechung/bgh/2000-03-21/4-str-43-00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