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BGH, Beschluß vom 07.03.2000 – 5 StR 30/00</w:t>
      </w:r>
    </w:p>
    <w:p>
      <w:r>
        <w:rPr>
          <w:color w:val="555555"/>
          <w:sz w:val="18"/>
        </w:rPr>
        <w:t xml:space="preserve">5. Strafsenat</w:t>
      </w:r>
    </w:p>
    <w:p>
      <w:r>
        <w:t xml:space="preserve">BUNDESGERICHTSHOF</w:t>
      </w:r>
    </w:p>
    <w:p>
      <w:r>
        <w:t xml:space="preserve">IM NAMEN DES VOLKES</w:t>
      </w:r>
    </w:p>
    <w:p>
      <w:r>
        <w:t xml:space="preserve">5 StR 30/00</w:t>
      </w:r>
    </w:p>
    <w:p>
      <w:pPr>
        <w:pStyle w:val="Heading2"/>
      </w:pPr>
      <w:r>
        <w:t xml:space="preserve">URTEIL</w:t>
      </w:r>
    </w:p>
    <w:p>
      <w:r>
        <w:t xml:space="preserve">vom 7. März 2000 in der Strafsache gegen</w:t>
      </w:r>
    </w:p>
    <w:p>
      <w:r>
        <w:t xml:space="preserve">wegen Vergewaltigung u. a.</w:t>
      </w:r>
    </w:p>
    <w:p>
      <w:r>
        <w:t xml:space="preserve">– 2 –</w:t>
      </w:r>
    </w:p>
    <w:p>
      <w:r>
        <w:t xml:space="preserve">Der 5. Strafsenat des Bundesgerichtshofs hat aufgrund der Hauptverhand-</w:t>
      </w:r>
    </w:p>
    <w:p>
      <w:r>
        <w:t xml:space="preserve">lung vom 6. und 7. März 2000 in der Sitzung vom 7. März 2000, an der teil-</w:t>
      </w:r>
    </w:p>
    <w:p>
      <w:r>
        <w:t xml:space="preserve">genommen haben:</w:t>
      </w:r>
    </w:p>
    <w:p>
      <w:r>
        <w:t xml:space="preserve">Vorsitzende Richterin Harms,</w:t>
      </w:r>
    </w:p>
    <w:p>
      <w:r>
        <w:t xml:space="preserve">Richter Basdorf,</w:t>
      </w:r>
    </w:p>
    <w:p>
      <w:r>
        <w:t xml:space="preserve">Richter Nack,</w:t>
      </w:r>
    </w:p>
    <w:p>
      <w:r>
        <w:t xml:space="preserve">Richterin Dr. Tepperwien,</w:t>
      </w:r>
    </w:p>
    <w:p>
      <w:r>
        <w:t xml:space="preserve">Richter Dr. Raum</w:t>
      </w:r>
    </w:p>
    <w:p>
      <w:r>
        <w:t xml:space="preserve">als beisitzende Richter,</w:t>
      </w:r>
    </w:p>
    <w:p>
      <w:r>
        <w:t xml:space="preserve">Bundesanwalt</w:t>
      </w:r>
    </w:p>
    <w:p>
      <w:r>
        <w:t xml:space="preserve">als Vertreter der Bundesanwaltschaft,</w:t>
      </w:r>
    </w:p>
    <w:p>
      <w:r>
        <w:t xml:space="preserve">Rechtsanwältin H</w:t>
      </w:r>
    </w:p>
    <w:p>
      <w:r>
        <w:t xml:space="preserve">als Verteidigerin des Angeklagten,</w:t>
      </w:r>
    </w:p>
    <w:p>
      <w:r>
        <w:t xml:space="preserve">Rechtsanwältin P</w:t>
      </w:r>
    </w:p>
    <w:p>
      <w:r>
        <w:t xml:space="preserve">als Vertreterin der Nebenklägerin,</w:t>
      </w:r>
    </w:p>
    <w:p>
      <w:r>
        <w:t xml:space="preserve">Justizangestellte</w:t>
      </w:r>
    </w:p>
    <w:p>
      <w:r>
        <w:t xml:space="preserve">als Urkundsbeamtin der Geschäftsstelle,</w:t>
      </w:r>
    </w:p>
    <w:p>
      <w:r>
        <w:t xml:space="preserve">– 3 –</w:t>
      </w:r>
    </w:p>
    <w:p>
      <w:r>
        <w:t xml:space="preserve">für Recht erkannt:</w:t>
      </w:r>
    </w:p>
    <w:p>
      <w:r>
        <w:t xml:space="preserve">Auf die Revision der Staatsanwaltschaft wird das Urteil des</w:t>
      </w:r>
    </w:p>
    <w:p>
      <w:r>
        <w:t xml:space="preserve">Landgerichts Berlin vom 27. Juli 1999 im Strafausspruch mit</w:t>
      </w:r>
    </w:p>
    <w:p>
      <w:r>
        <w:t xml:space="preserve">den zugehörigen Feststellungen aufgehoben.</w:t>
      </w:r>
    </w:p>
    <w:p>
      <w:r>
        <w:t xml:space="preserve">Im Umfang der Aufhebung wird die Sache zu neuer Ver-</w:t>
      </w:r>
    </w:p>
    <w:p>
      <w:r>
        <w:t xml:space="preserve">handlung und Entscheidung, auch über die Kosten des</w:t>
      </w:r>
    </w:p>
    <w:p>
      <w:r>
        <w:t xml:space="preserve">Rechtsmittels sowie die notwendigen Auslagen der Neben-</w:t>
      </w:r>
    </w:p>
    <w:p>
      <w:r>
        <w:t xml:space="preserve">klägerin, an eine andere Strafkammer des Landgerichts zu-</w:t>
      </w:r>
    </w:p>
    <w:p>
      <w:r>
        <w:t xml:space="preserve">rückverwiesen.</w:t>
      </w:r>
    </w:p>
    <w:p>
      <w:r>
        <w:t xml:space="preserve">– Von Rechts wegen –</w:t>
      </w:r>
    </w:p>
    <w:p>
      <w:r>
        <w:t xml:space="preserve">G r ü n d e</w:t>
      </w:r>
    </w:p>
    <w:p>
      <w:r>
        <w:t xml:space="preserve">Das Landgericht hat den Angeklagten wegen Vergewaltigung in Tat-</w:t>
      </w:r>
    </w:p>
    <w:p>
      <w:r>
        <w:t xml:space="preserve">einheit mit gefährlicher Körperverletzung zu einer Freiheitsstrafe von</w:t>
      </w:r>
    </w:p>
    <w:p>
      <w:r>
        <w:t xml:space="preserve">zwei Jahren verurteilt und deren Vollstreckung zur Bewährung ausgesetzt.</w:t>
      </w:r>
    </w:p>
    <w:p>
      <w:r>
        <w:t xml:space="preserve">Die hiergegen zuungunsten des Angeklagten eingelegte – auf den Rechts-</w:t>
      </w:r>
    </w:p>
    <w:p>
      <w:r>
        <w:t xml:space="preserve">folgenausspruch beschränkte – Revision der Staatsanwaltschaft hat in der</w:t>
      </w:r>
    </w:p>
    <w:p>
      <w:r>
        <w:t xml:space="preserve">Sache Erfolg.</w:t>
      </w:r>
    </w:p>
    <w:p>
      <w:r>
        <w:t xml:space="preserve">I.</w:t>
      </w:r>
    </w:p>
    <w:p>
      <w:r>
        <w:t xml:space="preserve">1. Nach den Feststellungen des Landgerichts hat der Angeklagte in</w:t>
      </w:r>
    </w:p>
    <w:p>
      <w:r>
        <w:t xml:space="preserve">der Nacht vom 24. zum 25. Februar 1998 gegen vier Uhr die Nebenklägerin</w:t>
      </w:r>
    </w:p>
    <w:p>
      <w:r>
        <w:t xml:space="preserve">vor dem Lokal „Style“ in Berlin angesprochen. Er lud sie zu einem gemein-</w:t>
      </w:r>
    </w:p>
    <w:p>
      <w:r>
        <w:t xml:space="preserve">samen Besuch einer Diskothek ein, was die Nebenklägerin auch annahm. Da</w:t>
      </w:r>
    </w:p>
    <w:p>
      <w:r>
        <w:t xml:space="preserve">– 4 –</w:t>
      </w:r>
    </w:p>
    <w:p>
      <w:r>
        <w:t xml:space="preserve">der Angeklagte vor der Fahrt zu der Diskothek noch etwas aus seiner in der</w:t>
      </w:r>
    </w:p>
    <w:p>
      <w:r>
        <w:t xml:space="preserve">Nähe liegenden Wohnung holen wollte, gingen sie zunächst dorthin. Die Ne-</w:t>
      </w:r>
    </w:p>
    <w:p>
      <w:r>
        <w:t xml:space="preserve">benklägerin, die erst vor dem Haus warten wollte, ließ sich dabei vom Ange-</w:t>
      </w:r>
    </w:p>
    <w:p>
      <w:r>
        <w:t xml:space="preserve">klagten in seine Wohnung bitten und stand dort im Flur, während der Ange-</w:t>
      </w:r>
    </w:p>
    <w:p>
      <w:r>
        <w:t xml:space="preserve">klagte sich in einem seiner beiden Zimmer aufhielt. Nun entschloß sich die</w:t>
      </w:r>
    </w:p>
    <w:p>
      <w:r>
        <w:t xml:space="preserve">Nebenklägerin – entgegen ihrer zunächst dem Angeklagten gegebenen Zu-</w:t>
      </w:r>
    </w:p>
    <w:p>
      <w:r>
        <w:t xml:space="preserve">sage –, nicht mehr in die Diskothek, sondern nach Hause zu gehen. Als sie</w:t>
      </w:r>
    </w:p>
    <w:p>
      <w:r>
        <w:t xml:space="preserve">dies dem Angeklagten mitteilte, fiel dieser aus Wut über sie her, drückte sie</w:t>
      </w:r>
    </w:p>
    <w:p>
      <w:r>
        <w:t xml:space="preserve">gewaltsam zu Boden und schlug mit dem Absatz eines in der Nähe stehen-</w:t>
      </w:r>
    </w:p>
    <w:p>
      <w:r>
        <w:t xml:space="preserve">den Cowboystiefels, den er ergriffen hatte, auf die Nebenklägerin ein. Der</w:t>
      </w:r>
    </w:p>
    <w:p>
      <w:r>
        <w:t xml:space="preserve">Angeklagte öffnete ihre Jacke, Bluse sowie ihre Hose und drang mit seinem</w:t>
      </w:r>
    </w:p>
    <w:p>
      <w:r>
        <w:t xml:space="preserve">erigierten Geschlechtsteil kurz in ihre Scheide ein. Die Nebenklägerin, die</w:t>
      </w:r>
    </w:p>
    <w:p>
      <w:r>
        <w:t xml:space="preserve">zunächst mit dem ihr körperlich überlegenen Angeklagten kämpfte, redete</w:t>
      </w:r>
    </w:p>
    <w:p>
      <w:r>
        <w:t xml:space="preserve">nunmehr beruhigend auf diesen ein. Es gelang ihr dabei, sich ein Stück zur</w:t>
      </w:r>
    </w:p>
    <w:p>
      <w:r>
        <w:t xml:space="preserve">Wohnungstür hin zu bewegen, diese zu öffnen und ein- bis zweimal laut um</w:t>
      </w:r>
    </w:p>
    <w:p>
      <w:r>
        <w:t xml:space="preserve">Hilfe zu rufen. Der hierdurch in noch stärkeren Zorn versetzte Angeklagte</w:t>
      </w:r>
    </w:p>
    <w:p>
      <w:r>
        <w:t xml:space="preserve">packte daraufhin die Nebenklägerin am Haaransatz über der Stirn und schlug</w:t>
      </w:r>
    </w:p>
    <w:p>
      <w:r>
        <w:t xml:space="preserve">sie mit dem Kopf heftig gegen die Wand oder einen anderen festen Gegen-</w:t>
      </w:r>
    </w:p>
    <w:p>
      <w:r>
        <w:t xml:space="preserve">stand. Schließlich drückte er mit seiner Hand links und rechts gegen ihren</w:t>
      </w:r>
    </w:p>
    <w:p>
      <w:r>
        <w:t xml:space="preserve">Hals, so daß die Nebenklägerin Mühe hatte, Luft zu holen und den Kopf nicht</w:t>
      </w:r>
    </w:p>
    <w:p>
      <w:r>
        <w:t xml:space="preserve">mehr ohne Schmerzen zu drehen vermochte. Der Angeklagte setzte sich auf</w:t>
      </w:r>
    </w:p>
    <w:p>
      <w:r>
        <w:t xml:space="preserve">ihre Schultern und erzwang dann den Oralverkehr, den er bis zum Samener-</w:t>
      </w:r>
    </w:p>
    <w:p>
      <w:r>
        <w:t xml:space="preserve">guß durchführte, wobei er in das Gesicht und den Mund ejakulierte. An-</w:t>
      </w:r>
    </w:p>
    <w:p>
      <w:r>
        <w:t xml:space="preserve">schließend gelang es der Nebenklägerin zu fliehen.</w:t>
      </w:r>
    </w:p>
    <w:p>
      <w:r>
        <w:t xml:space="preserve">Die Nebenklägerin erlitt Schwellungen im Bereich des Kopfes und des</w:t>
      </w:r>
    </w:p>
    <w:p>
      <w:r>
        <w:t xml:space="preserve">Gesäßes. In Folge der Tat litt sie längere Zeit unter Kopfschmerzen und De-</w:t>
      </w:r>
    </w:p>
    <w:p>
      <w:r>
        <w:t xml:space="preserve">pressionen. Nach einem Selbstmordversuch, für den das Tatgeschehen mit-</w:t>
      </w:r>
    </w:p>
    <w:p>
      <w:r>
        <w:t xml:space="preserve">ursächlich war, befindet sie sich noch in therapeutischer Behandlung.</w:t>
      </w:r>
    </w:p>
    <w:p>
      <w:r>
        <w:t xml:space="preserve">2. Das Landgericht ist im Rahmen der Strafzumessung von der An-</w:t>
      </w:r>
    </w:p>
    <w:p>
      <w:r>
        <w:t xml:space="preserve">wendung des § 177 StGB n.F. als milderem Recht (§ 2 Abs. 3 StGB) ausge-</w:t>
      </w:r>
    </w:p>
    <w:p>
      <w:r>
        <w:t xml:space="preserve">– 5 –</w:t>
      </w:r>
    </w:p>
    <w:p>
      <w:r>
        <w:t xml:space="preserve">gangen. Es</w:t>
      </w:r>
    </w:p>
    <w:p>
      <w:r>
        <w:t xml:space="preserve">liege</w:t>
      </w:r>
    </w:p>
    <w:p>
      <w:r>
        <w:t xml:space="preserve">zwar der Qualifikationstatbestand des § 177</w:t>
      </w:r>
    </w:p>
    <w:p>
      <w:r>
        <w:t xml:space="preserve">Abs. 4 StGB n.F. vor, trotz vollzogenem Vaginal- und Oralverkehr sei jedoch</w:t>
      </w:r>
    </w:p>
    <w:p>
      <w:r>
        <w:t xml:space="preserve">ein minder schwerer Fall gegeben, weil der nicht vorbestrafte Angeklagte</w:t>
      </w:r>
    </w:p>
    <w:p>
      <w:r>
        <w:t xml:space="preserve">alkoholisiert (1,73 (cid:0) ) gewesen sei, die Geschädigte sich leichtfertig verhalten</w:t>
      </w:r>
    </w:p>
    <w:p>
      <w:r>
        <w:t xml:space="preserve">habe, indem sie wenigstens objektiv in dem Angeklagten Hoffnungen ge-</w:t>
      </w:r>
    </w:p>
    <w:p>
      <w:r>
        <w:t xml:space="preserve">weckt habe, der Angeklagte geständig gewesen sei und sich im Vergleichs-</w:t>
      </w:r>
    </w:p>
    <w:p>
      <w:r>
        <w:t xml:space="preserve">wege zu einer Schmerzensgeldzahlung in Höhe von 10.000,-- DM verpflich-</w:t>
      </w:r>
    </w:p>
    <w:p>
      <w:r>
        <w:t xml:space="preserve">tet habe. Innerhalb des sich nach § 177 Abs. 5 zweiter Halbsatz StGB n.F.</w:t>
      </w:r>
    </w:p>
    <w:p>
      <w:r>
        <w:t xml:space="preserve">ergebenden Strafrahmens von einem bis zu zehn Jahren sei die Verhängung</w:t>
      </w:r>
    </w:p>
    <w:p>
      <w:r>
        <w:t xml:space="preserve">einer Freiheitsstrafe von zwei Jahren angemessen, die zur Bewährung aus-</w:t>
      </w:r>
    </w:p>
    <w:p>
      <w:r>
        <w:t xml:space="preserve">gesetzt werden könne.</w:t>
      </w:r>
    </w:p>
    <w:p>
      <w:r>
        <w:t xml:space="preserve">II.</w:t>
      </w:r>
    </w:p>
    <w:p>
      <w:r>
        <w:t xml:space="preserve">Die Strafzumessung hält rechtlicher Nachprüfung nicht stand.</w:t>
      </w:r>
    </w:p>
    <w:p>
      <w:r>
        <w:t xml:space="preserve">1. Das Landgericht hat allerdings zu Recht das Qualifikationsmerkmal</w:t>
      </w:r>
    </w:p>
    <w:p>
      <w:r>
        <w:t xml:space="preserve">des § 177 Abs. 4 Nr. 1 StGB n.F. (in der seit 1. April 1998 geltenden Fassung</w:t>
      </w:r>
    </w:p>
    <w:p>
      <w:r>
        <w:t xml:space="preserve">der 6. Strafrechtsänderungsgesetzes) angenommen. Der vom Angeklagten</w:t>
      </w:r>
    </w:p>
    <w:p>
      <w:r>
        <w:t xml:space="preserve">als Schlaginstrument eingesetzte Cowboystiefel stellt ein gefährliches Werk-</w:t>
      </w:r>
    </w:p>
    <w:p>
      <w:r>
        <w:t xml:space="preserve">zeug im Sinne dieser Vorschrift dar (vgl. BGH NJW 1998, 2915, 2916).</w:t>
      </w:r>
    </w:p>
    <w:p>
      <w:r>
        <w:t xml:space="preserve">2. Die Bestimmung des Strafrahmens durch das Landgericht und die</w:t>
      </w:r>
    </w:p>
    <w:p>
      <w:r>
        <w:t xml:space="preserve">Strafzumessung begegnen jedoch durchgreifenden rechtlichen Bedenken,</w:t>
      </w:r>
    </w:p>
    <w:p>
      <w:r>
        <w:t xml:space="preserve">weil die Bedeutung des Regelbeispiels nach § 177 Abs. 2 Satz 2</w:t>
      </w:r>
    </w:p>
    <w:p>
      <w:r>
        <w:t xml:space="preserve">Nr. 1 StGB n.F. weder im Rahmen der Bestimmung des Strafrahmens nach</w:t>
      </w:r>
    </w:p>
    <w:p>
      <w:r>
        <w:t xml:space="preserve">§ 177 Abs. 5 StGB n.F. noch bei der konkreten Strafzumessung bedacht</w:t>
      </w:r>
    </w:p>
    <w:p>
      <w:r>
        <w:t xml:space="preserve">wurde.</w:t>
      </w:r>
    </w:p>
    <w:p>
      <w:r>
        <w:t xml:space="preserve">a) Das Vorliegen dieses Regelbeispiels schließt die Annahme eines</w:t>
      </w:r>
    </w:p>
    <w:p>
      <w:r>
        <w:t xml:space="preserve">minder schweren Falles nach § 177 Abs. 5 zweiter Halbsatz StGB n.F. nicht</w:t>
      </w:r>
    </w:p>
    <w:p>
      <w:r>
        <w:t xml:space="preserve">grundsätzlich aus (so aber wohl Tröndle/Fischer, StGB, 49. Aufl. § 177</w:t>
      </w:r>
    </w:p>
    <w:p>
      <w:r>
        <w:t xml:space="preserve">– 6 –</w:t>
      </w:r>
    </w:p>
    <w:p>
      <w:r>
        <w:t xml:space="preserve">Rdn. 35), wird aber vielfach der Annahme eines minder schweren Falles ent-</w:t>
      </w:r>
    </w:p>
    <w:p>
      <w:r>
        <w:t xml:space="preserve">gegenstehen.</w:t>
      </w:r>
    </w:p>
    <w:p>
      <w:r>
        <w:t xml:space="preserve">Für die Entscheidung, ob ein minder schwerer Fall angenommen wer-</w:t>
      </w:r>
    </w:p>
    <w:p>
      <w:r>
        <w:t xml:space="preserve">den kann, ist – wie sonst auch nach ständiger Rechtsprechung des Bundes-</w:t>
      </w:r>
    </w:p>
    <w:p>
      <w:r>
        <w:t xml:space="preserve">gerichtshofs – maßgebend, ob das gesamte Tatbild einschließlich aller sub-</w:t>
      </w:r>
    </w:p>
    <w:p>
      <w:r>
        <w:t xml:space="preserve">jektiven Momente und der Täterpersönlichkeit vom Durchschnitt der gewöhn-</w:t>
      </w:r>
    </w:p>
    <w:p>
      <w:r>
        <w:t xml:space="preserve">lich vorhandenen Fälle so sehr abweicht, daß die Anwendung des Ausnah-</w:t>
      </w:r>
    </w:p>
    <w:p>
      <w:r>
        <w:t xml:space="preserve">mestrafrahmens</w:t>
      </w:r>
    </w:p>
    <w:p>
      <w:r>
        <w:t xml:space="preserve">geboten erscheint</w:t>
      </w:r>
    </w:p>
    <w:p>
      <w:r>
        <w:t xml:space="preserve">(BGHR StGB</w:t>
      </w:r>
    </w:p>
    <w:p>
      <w:r>
        <w:t xml:space="preserve">§ 177 Abs. 2</w:t>
      </w:r>
    </w:p>
    <w:p>
      <w:r>
        <w:t xml:space="preserve">– Strafrahmenwahl 1, 5, 6, 8, 10). Dabei ist als tatbezogener Umstand auch</w:t>
      </w:r>
    </w:p>
    <w:p>
      <w:r>
        <w:t xml:space="preserve">die Verwirklichung eines Regelbeispiels als schulderschwerender Gesichts-</w:t>
      </w:r>
    </w:p>
    <w:p>
      <w:r>
        <w:t xml:space="preserve">punkt in die Gesamtbetrachtung einzubeziehen (BGH, Beschluß vom</w:t>
      </w:r>
    </w:p>
    <w:p>
      <w:r>
        <w:t xml:space="preserve">12. Januar 2000 – 3 StR 363/99 –). Der in dem Regelbeispiel benannte</w:t>
      </w:r>
    </w:p>
    <w:p>
      <w:r>
        <w:t xml:space="preserve">Strafschärfungsgrund kann aber dennoch durch strafmildernde Gesichts-</w:t>
      </w:r>
    </w:p>
    <w:p>
      <w:r>
        <w:t xml:space="preserve">punkte in einer Weise überlagert werden, daß die Annahme eines minder</w:t>
      </w:r>
    </w:p>
    <w:p>
      <w:r>
        <w:t xml:space="preserve">schweren Falles möglich bleibt. Der Qualifikationstatbestand des Absatzes 4</w:t>
      </w:r>
    </w:p>
    <w:p>
      <w:r>
        <w:t xml:space="preserve">der Neufassung des § 177 StGB knüpft an der Verwirklichung des Grundtat-</w:t>
      </w:r>
    </w:p>
    <w:p>
      <w:r>
        <w:t xml:space="preserve">bestandes des Absatzes 1 an, der durch ein besonders gefährliches und</w:t>
      </w:r>
    </w:p>
    <w:p>
      <w:r>
        <w:t xml:space="preserve">brutales Vorgehen des Täters sein Gepräge erlangt. Deshalb kann im Zu-</w:t>
      </w:r>
    </w:p>
    <w:p>
      <w:r>
        <w:t xml:space="preserve">sammenhang mit weiteren Milderungsgründen, wenn etwa die Gewaltkom-</w:t>
      </w:r>
    </w:p>
    <w:p>
      <w:r>
        <w:t xml:space="preserve">ponente vom Durchschnitt der vorkommenden Fälle erheblich abweicht, die</w:t>
      </w:r>
    </w:p>
    <w:p>
      <w:r>
        <w:t xml:space="preserve">Annahme eines minder schweren Falles auch dann gerechtfertigt sein, wenn</w:t>
      </w:r>
    </w:p>
    <w:p>
      <w:r>
        <w:t xml:space="preserve">die im Regelbeispiel des § 177 Abs. 2 Satz 2 Nr. 1 StGB n.F. vorausgesetzte</w:t>
      </w:r>
    </w:p>
    <w:p>
      <w:r>
        <w:t xml:space="preserve">besondere Intensität der erzwungenen sexuellen Handlung erreicht ist.</w:t>
      </w:r>
    </w:p>
    <w:p>
      <w:r>
        <w:t xml:space="preserve">Soweit der Tatrichter im Falle der Verwirklichung des Qualifikati-</w:t>
      </w:r>
    </w:p>
    <w:p>
      <w:r>
        <w:t xml:space="preserve">onstatbestandes des Absatzes 4 einen minder schweren Fall im Sinne des</w:t>
      </w:r>
    </w:p>
    <w:p>
      <w:r>
        <w:t xml:space="preserve">Absatzes 5 annehmen will, hat er, wenn ein Regelbeispiel nach Absatz 2 ge-</w:t>
      </w:r>
    </w:p>
    <w:p>
      <w:r>
        <w:t xml:space="preserve">geben ist, besonders darauf Bedacht zu nehmen, daß Absatz 2 einen</w:t>
      </w:r>
    </w:p>
    <w:p>
      <w:r>
        <w:t xml:space="preserve">schärferen Strafrahmen als Absatz 5 zweiter Halbsatz vorsieht. Andernfalls</w:t>
      </w:r>
    </w:p>
    <w:p>
      <w:r>
        <w:t xml:space="preserve">entstünde nämlich ein Wertungswiderspruch, weil derjenige Täter, der zu-</w:t>
      </w:r>
    </w:p>
    <w:p>
      <w:r>
        <w:t xml:space="preserve">sätzlich noch einen Qualifikationstatbestand erfüllt, im Falle der Verwirkli-</w:t>
      </w:r>
    </w:p>
    <w:p>
      <w:r>
        <w:t xml:space="preserve">– 7 –</w:t>
      </w:r>
    </w:p>
    <w:p>
      <w:r>
        <w:t xml:space="preserve">chung eines Regelbeispieles günstiger gestellt wäre als derjenige Täter, der</w:t>
      </w:r>
    </w:p>
    <w:p>
      <w:r>
        <w:t xml:space="preserve">kein Qualifikationsmerkmal verwirkt hat. Bei dem Regelbeispiel des § 177</w:t>
      </w:r>
    </w:p>
    <w:p>
      <w:r>
        <w:t xml:space="preserve">Abs. 2 Satz 2 Nr. 1 StGB n.F. liegt die Rechtfertigung für die regelmäßig er-</w:t>
      </w:r>
    </w:p>
    <w:p>
      <w:r>
        <w:t xml:space="preserve">höhte Strafe in der besonderen Schwere der erzwungenen sexuellen Hand-</w:t>
      </w:r>
    </w:p>
    <w:p>
      <w:r>
        <w:t xml:space="preserve">lung, während der Qualifikationstatbestand des Absatzes 4 eine Vergewalti-</w:t>
      </w:r>
    </w:p>
    <w:p>
      <w:r>
        <w:t xml:space="preserve">gung nicht voraussetzt.</w:t>
      </w:r>
    </w:p>
    <w:p>
      <w:r>
        <w:t xml:space="preserve">b) Wählt der Tatrichter danach den Strafrahmen des Absatzes 5, so</w:t>
      </w:r>
    </w:p>
    <w:p>
      <w:r>
        <w:t xml:space="preserve">hat er die Untergrenze des § 177 Abs. 2 StGB n.F. zu beachten, wenn dieser</w:t>
      </w:r>
    </w:p>
    <w:p>
      <w:r>
        <w:t xml:space="preserve">Strafrahmen ohne das Vorliegen der Qualifikation des Absatzes 4 gegeben</w:t>
      </w:r>
    </w:p>
    <w:p>
      <w:r>
        <w:t xml:space="preserve">wäre. Mit diesem systematischen Zusammenhang hat sich das Landgericht</w:t>
      </w:r>
    </w:p>
    <w:p>
      <w:r>
        <w:t xml:space="preserve">nicht auseinandergesetzt. Aufgrund des im vorliegenden Fall vollzogenen</w:t>
      </w:r>
    </w:p>
    <w:p>
      <w:r>
        <w:t xml:space="preserve">Vaginal- und Oralverkehrs war das Regelbeispiel des § 177 Abs. 2 Satz 2</w:t>
      </w:r>
    </w:p>
    <w:p>
      <w:r>
        <w:t xml:space="preserve">Nr. 1 StGB n.F. (zweifach) erfüllt. Im Hinblick auf das Gewicht der erzwunge-</w:t>
      </w:r>
    </w:p>
    <w:p>
      <w:r>
        <w:t xml:space="preserve">nen sexuellen Handlungen sind keine schuldmindernden Umstände erkenn-</w:t>
      </w:r>
    </w:p>
    <w:p>
      <w:r>
        <w:t xml:space="preserve">bar, die eine Abweichung von der in Absatz 2 vorgesehenen Strafuntergren-</w:t>
      </w:r>
    </w:p>
    <w:p>
      <w:r>
        <w:t xml:space="preserve">ze rechtfertigen könnten.</w:t>
      </w:r>
    </w:p>
    <w:p>
      <w:r>
        <w:t xml:space="preserve">3. Auch bei der Anwendung des älteren Rechts (in der Fassung vom</w:t>
      </w:r>
    </w:p>
    <w:p>
      <w:r>
        <w:t xml:space="preserve">1. Juli 1997) wäre eine Unterschreitung des durch das Vorliegen eines Re-</w:t>
      </w:r>
    </w:p>
    <w:p>
      <w:r>
        <w:t xml:space="preserve">gelbeispiels (§ 177 Abs. 3 Satz 2 Nr. 1 StGB a.F.) ausgelösten Strafrahmens</w:t>
      </w:r>
    </w:p>
    <w:p>
      <w:r>
        <w:t xml:space="preserve">– wie sie der Tatrichter hier für vertretbar erachtet hat – rechtsfehlerhaft. In-</w:t>
      </w:r>
    </w:p>
    <w:p>
      <w:r>
        <w:t xml:space="preserve">– 8 –</w:t>
      </w:r>
    </w:p>
    <w:p>
      <w:r>
        <w:t xml:space="preserve">soweit verbietet es sich aufgrund des Tatbildes ebenfalls, ausnahmsweise</w:t>
      </w:r>
    </w:p>
    <w:p>
      <w:r>
        <w:t xml:space="preserve">von der Anwendung des Strafrahmens nach § 177 Abs. 3 StGB a.F. abzuse-</w:t>
      </w:r>
    </w:p>
    <w:p>
      <w:r>
        <w:t xml:space="preserve">hen.</w:t>
      </w:r>
    </w:p>
    <w:p>
      <w:r>
        <w:t xml:space="preserve">Harms Basdorf Nack</w:t>
      </w:r>
    </w:p>
    <w:p>
      <w:r>
        <w:t xml:space="preserve">Tepperwien Raum</w:t>
      </w:r>
    </w:p>
    <w:p>
      <w:r>
        <w:rPr>
          <w:color w:val="555555"/>
          <w:sz w:val="17"/>
        </w:rPr>
        <w:t xml:space="preserve">Zitiervorschlag: BGH, Beschluß vom 07.03.2000 – 5 StR 30/00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https://recht.nulegal.eu/rechtsprechung/bgh/2000-03-07/5-str-30-00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Fassung. Maßgeblich ist die Fassung des Gerichts.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BGH, Beschluß vom 07.03.2000 – 5 StR 30/00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