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BGH, Beschluss vom 18.02.2000 – StB 2/00</w:t>
      </w:r>
    </w:p>
    <w:p>
      <w:r>
        <w:rPr>
          <w:color w:val="555555"/>
          <w:sz w:val="18"/>
        </w:rPr>
        <w:t xml:space="preserve">3. Strafsenat</w:t>
      </w:r>
    </w:p>
    <w:p>
      <w:r>
        <w:t xml:space="preserve">BUNDESGERICHTSHOF</w:t>
      </w:r>
    </w:p>
    <w:p>
      <w:r>
        <w:t xml:space="preserve">1 BJs 188/88 - 2 StB 2/00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18. Februar 2000</w:t>
      </w:r>
    </w:p>
    <w:p>
      <w:r>
        <w:t xml:space="preserve">in dem Ermittlungsverfahren</w:t>
      </w:r>
    </w:p>
    <w:p>
      <w:r>
        <w:t xml:space="preserve">gegen</w:t>
      </w:r>
    </w:p>
    <w:p>
      <w:r>
        <w:t xml:space="preserve">letzter bekannter Wohnort , zur Zeit unbekannten Aufenthalts,</w:t>
      </w:r>
    </w:p>
    <w:p>
      <w:r>
        <w:t xml:space="preserve">wegen des Verdachts der Mitgliedschaft in einer terroristischen Vereinigung</w:t>
      </w:r>
    </w:p>
    <w:p>
      <w:r>
        <w:t xml:space="preserve">u.a.</w:t>
      </w:r>
    </w:p>
    <w:p>
      <w:r>
        <w:t xml:space="preserve">Der 3. Strafsenat des Bundesgerichtshofs hat nach Anhörung des General-</w:t>
      </w:r>
    </w:p>
    <w:p>
      <w:r>
        <w:t xml:space="preserve">bundesanwalts und der Beschwerdeführerin am 18. Februar 2000 gemäß</w:t>
      </w:r>
    </w:p>
    <w:p>
      <w:r>
        <w:t xml:space="preserve">§ 304 Abs. 5 StPO beschlossen:</w:t>
      </w:r>
    </w:p>
    <w:p>
      <w:r>
        <w:t xml:space="preserve">Die Beschwerde der Beschuldigten gegen den Haftbefehl des</w:t>
      </w:r>
    </w:p>
    <w:p>
      <w:r>
        <w:t xml:space="preserve">Ermittlungsrichters des Bundesgerichtshofes vom 30. Juni</w:t>
      </w:r>
    </w:p>
    <w:p>
      <w:r>
        <w:t xml:space="preserve">1998 - 1 BGs 85/98 - wird verworfen.</w:t>
      </w:r>
    </w:p>
    <w:p>
      <w:r>
        <w:t xml:space="preserve">Die Beschwerdeführerin trägt die Kosten des Rechtsmittels.</w:t>
      </w:r>
    </w:p>
    <w:p>
      <w:pPr>
        <w:pStyle w:val="Heading2"/>
      </w:pPr>
      <w:r>
        <w:t xml:space="preserve">Gründe</w:t>
      </w:r>
    </w:p>
    <w:p>
      <w:r>
        <w:t xml:space="preserve">Der angefochtene Haftbefehl ist auf den Vorwurf gestützt, die Beschul-</w:t>
      </w:r>
    </w:p>
    <w:p>
      <w:r>
        <w:t xml:space="preserve">digte habe in B. am 17. Oktober 1986 und in H. am 21. Juni 1987 je-</w:t>
      </w:r>
    </w:p>
    <w:p>
      <w:r>
        <w:t xml:space="preserve">weils gemeinschaftlich mit anderen versucht, durch Sprengstoff eine Explosion</w:t>
      </w:r>
    </w:p>
    <w:p>
      <w:r>
        <w:t xml:space="preserve">herbeizuführen und dadurch fremde Sachen von bedeutendem Wert zu ge-</w:t>
      </w:r>
    </w:p>
    <w:p>
      <w:r>
        <w:t xml:space="preserve">fährden (§ 311 Abs. 1 StGB a.F.), zudem habe sie in A. und anderen Or-</w:t>
      </w:r>
    </w:p>
    <w:p>
      <w:r>
        <w:t xml:space="preserve">ten am 15. August 1987 gemeinschaftlich mit anderen ein fremdes Gebäude in</w:t>
      </w:r>
    </w:p>
    <w:p>
      <w:r>
        <w:t xml:space="preserve">Brand gesetzt und dies bezüglich acht weiterer fremder Gebäude versucht</w:t>
      </w:r>
    </w:p>
    <w:p>
      <w:r>
        <w:t xml:space="preserve">(§ 308 Abs. 1 StGB a.F.), tateinheitlich habe sie sich spätestens seit Herbst</w:t>
      </w:r>
    </w:p>
    <w:p>
      <w:r>
        <w:t xml:space="preserve">1986 jeweils an einer terroristischen Vereinigung mitgliedschaftlich beteiligt</w:t>
      </w:r>
    </w:p>
    <w:p>
      <w:r>
        <w:t xml:space="preserve">(§ 129 a Abs. 1 Nr. 3 StGB a.F.). Die Taten vom 17. Oktober 1986 und</w:t>
      </w:r>
    </w:p>
    <w:p>
      <w:r>
        <w:t xml:space="preserve">15. August 1987 und die Mitgliedschaft in einer terroristischen Vereinigung wa-</w:t>
      </w:r>
    </w:p>
    <w:p>
      <w:r>
        <w:t xml:space="preserve">ren bereits Gegenstand des Haftbefehls des Ermittlungsrichters des Bundesge-</w:t>
      </w:r>
    </w:p>
    <w:p>
      <w:r>
        <w:t xml:space="preserve">richtshofes vom 6. Dezember 1988 - 1 BGs 1122/88. An dessen Stelle ist der</w:t>
      </w:r>
    </w:p>
    <w:p>
      <w:r>
        <w:t xml:space="preserve">angefochtene Haftbefehl getreten, nachdem weitere Ermittlungen auch einen</w:t>
      </w:r>
    </w:p>
    <w:p>
      <w:r>
        <w:t xml:space="preserve">dringenden Tatverdacht bezüglich der Tat vom 21. Juni 1987 ergeben hatten.</w:t>
      </w:r>
    </w:p>
    <w:p>
      <w:r>
        <w:t xml:space="preserve">Die Beschuldigte, die seit dem 18. Dezember 1987 flüchtig ist, wendet</w:t>
      </w:r>
    </w:p>
    <w:p>
      <w:r>
        <w:t xml:space="preserve">sich mit ihrer Beschwerde vom 10. Januar 2000 gegen den Haftbefehl aus-</w:t>
      </w:r>
    </w:p>
    <w:p>
      <w:r>
        <w:t xml:space="preserve">schließlich mit der Auffassung, die ihr zur Last gelegten Taten seien zwischen-</w:t>
      </w:r>
    </w:p>
    <w:p>
      <w:r>
        <w:t xml:space="preserve">zeitlich verjährt. Dies trifft nicht zu.</w:t>
      </w:r>
    </w:p>
    <w:p>
      <w:r>
        <w:t xml:space="preserve">1. Der Strafverfolgung steht in keinem Fall das Hindernis der Verjährung</w:t>
      </w:r>
    </w:p>
    <w:p>
      <w:r>
        <w:t xml:space="preserve">entgegen.</w:t>
      </w:r>
    </w:p>
    <w:p>
      <w:r>
        <w:t xml:space="preserve">a) Die Verjährungsfrist für die Tat vom 17. Oktober 1986 beträgt 20 Jah-</w:t>
      </w:r>
    </w:p>
    <w:p>
      <w:r>
        <w:t xml:space="preserve">re, soweit § 311 Abs. 1 StGB a.F. betroffen ist (§ 78 Abs. 3 Nr. 2 StGB). Sie ist</w:t>
      </w:r>
    </w:p>
    <w:p>
      <w:r>
        <w:t xml:space="preserve">durch den Haftbefehl des Ermittlungsrichters vom 6. Dezember 1988 unterbro-</w:t>
      </w:r>
    </w:p>
    <w:p>
      <w:r>
        <w:t xml:space="preserve">chen worden mit der Wirkung, daß die Verjährung von neuem begonnen hat</w:t>
      </w:r>
    </w:p>
    <w:p>
      <w:r>
        <w:t xml:space="preserve">(§ 78 c Abs. 3 Satz 1 StGB). Mit dem angegriffenen Haftbefehl, an dessen Zu-</w:t>
      </w:r>
    </w:p>
    <w:p>
      <w:r>
        <w:t xml:space="preserve">lässigkeit und Wirksamkeit keine Zweifel bestehen, ist die Verjährung erneut</w:t>
      </w:r>
    </w:p>
    <w:p>
      <w:r>
        <w:t xml:space="preserve">unterbrochen worden. Die absolute Verjährung (§ 78 c Abs. 3 Satz 2 StGB) ist</w:t>
      </w:r>
    </w:p>
    <w:p>
      <w:r>
        <w:t xml:space="preserve">noch nicht eingetreten.</w:t>
      </w:r>
    </w:p>
    <w:p>
      <w:r>
        <w:t xml:space="preserve">Auch unter dem Gesichtspunkt der mitgliedschaftlichen Beteiligung an</w:t>
      </w:r>
    </w:p>
    <w:p>
      <w:r>
        <w:t xml:space="preserve">einer terroristischen Vereinigung ist die Tat vom 17. Oktober 1986 nicht ver-</w:t>
      </w:r>
    </w:p>
    <w:p>
      <w:r>
        <w:t xml:space="preserve">jährt. Nach der zum Tatzeitpunkt geltenden Fassung des § 129 a StGB (BGBl</w:t>
      </w:r>
    </w:p>
    <w:p>
      <w:r>
        <w:t xml:space="preserve">1976 I 2181) war die mitgliedschaftliche Beteiligung an einer terroristischen</w:t>
      </w:r>
    </w:p>
    <w:p>
      <w:r>
        <w:t xml:space="preserve">Vereinigung nur ein Vergehen, das mit Freiheitsstrafe von sechs Monaten bis</w:t>
      </w:r>
    </w:p>
    <w:p>
      <w:r>
        <w:t xml:space="preserve">zu fünf Jahren bedroht war. Danach hätte die Verjährungsfrist nur fünf Jahre</w:t>
      </w:r>
    </w:p>
    <w:p>
      <w:r>
        <w:t xml:space="preserve">betragen (§ 78 Abs. 3 Nr. 4 StGB). Indes hat die Verjährungsfrist noch nicht am</w:t>
      </w:r>
    </w:p>
    <w:p>
      <w:r>
        <w:t xml:space="preserve">17. Oktober 1986 begonnen. Die Beschuldigte ist nach dem bisherigen Ermitt-</w:t>
      </w:r>
    </w:p>
    <w:p>
      <w:r>
        <w:t xml:space="preserve">lungsergebnis dringend verdächtig, sich auch am 21. Juni 1987 und am</w:t>
      </w:r>
    </w:p>
    <w:p>
      <w:r>
        <w:t xml:space="preserve">15. August 1987 als Mitglied der terroristischen Vereinigung beteiligt zu haben.</w:t>
      </w:r>
    </w:p>
    <w:p>
      <w:r>
        <w:t xml:space="preserve">Damit war dieses Delikt, das eine auf Dauer gerichtete Teilnahme am Ver-</w:t>
      </w:r>
    </w:p>
    <w:p>
      <w:r>
        <w:t xml:space="preserve">bandsleben zum Gegenstand hat (vgl. BGHSt 29, 114, 123; 33, 16, 17; 36,</w:t>
      </w:r>
    </w:p>
    <w:p>
      <w:r>
        <w:t xml:space="preserve">192, 198), erst zu einem Zeitpunkt beendet, als es durch das Gesetz zur Be-</w:t>
      </w:r>
    </w:p>
    <w:p>
      <w:r>
        <w:t xml:space="preserve">kämpfung des Terrorismus vom 19. Dezember 1986 (BGBl I 2566) mit Wirkung</w:t>
      </w:r>
    </w:p>
    <w:p>
      <w:r>
        <w:t xml:space="preserve">vom 1. Januar 1987 bereits vom Vergehen zum Verbrechen mit einer Höchst-</w:t>
      </w:r>
    </w:p>
    <w:p>
      <w:r>
        <w:t xml:space="preserve">strafe von 10 Jahren hochgestuft war und die Verjährungsfrist demnach</w:t>
      </w:r>
    </w:p>
    <w:p>
      <w:r>
        <w:t xml:space="preserve">10 Jahre betrug. Diese Verjährungsfrist hat auch für den Teil des Organisa-</w:t>
      </w:r>
    </w:p>
    <w:p>
      <w:r>
        <w:t xml:space="preserve">tionsdelikts Geltung, der vor dem die Deliktsnatur ändernden Gesetz begangen</w:t>
      </w:r>
    </w:p>
    <w:p>
      <w:r>
        <w:t xml:space="preserve">worden ist. Nach § 2 Abs. 2 StGB ist bei einer Änderung der Strafdrohung wäh-</w:t>
      </w:r>
    </w:p>
    <w:p>
      <w:r>
        <w:t xml:space="preserve">rend der Tatbegehung das Gesetz anzuwenden, das bei der Beendigung der</w:t>
      </w:r>
    </w:p>
    <w:p>
      <w:r>
        <w:t xml:space="preserve">Tat gilt. Diese Vorschrift ist 1969 in das Strafgesetzbuch eingefügt worden, um</w:t>
      </w:r>
    </w:p>
    <w:p>
      <w:r>
        <w:t xml:space="preserve">Dauerstraftaten und fortgesetzte Handlungen einheitlich beurteilen zu können</w:t>
      </w:r>
    </w:p>
    <w:p>
      <w:r>
        <w:t xml:space="preserve">(vgl. Gribbohm in LK 11. Aufl. § 2 Rdn. 12). Eine erst während der Begehung</w:t>
      </w:r>
    </w:p>
    <w:p>
      <w:r>
        <w:t xml:space="preserve">eintretende Strafbarkeit erfaßt § 2 Abs. 2 StGB zwar nicht; ein solcher Fall liegt</w:t>
      </w:r>
    </w:p>
    <w:p>
      <w:r>
        <w:t xml:space="preserve">bei der Änderung des Deliktscharakters vom Vergehen zum Verbrechen (an-</w:t>
      </w:r>
    </w:p>
    <w:p>
      <w:r>
        <w:t xml:space="preserve">ders als bei der Umgestaltung einer Ordnungswidrigkeit zu einer Straftat, vgl.</w:t>
      </w:r>
    </w:p>
    <w:p>
      <w:r>
        <w:t xml:space="preserve">BGHR StGB § 2 II Ordnungswidrigkeit 1) aber auch nicht vor.</w:t>
      </w:r>
    </w:p>
    <w:p>
      <w:r>
        <w:t xml:space="preserve">Selbst wenn die Beschuldigte ihre Beteiligung an der terroristischen</w:t>
      </w:r>
    </w:p>
    <w:p>
      <w:r>
        <w:t xml:space="preserve">Vereinigung "Rote Zora" nach den Brandanschlägen vom 15. August 1987 be-</w:t>
      </w:r>
    </w:p>
    <w:p>
      <w:r>
        <w:t xml:space="preserve">endet hätte, wofür angesichts ihrer Flucht im Dezember 1987 derzeit nichts</w:t>
      </w:r>
    </w:p>
    <w:p>
      <w:r>
        <w:t xml:space="preserve">spricht, wäre die Verjährungsfrist rechtzeitig und wirksam durch die beiden</w:t>
      </w:r>
    </w:p>
    <w:p>
      <w:r>
        <w:t xml:space="preserve">Haftbefehle unterbrochen worden.</w:t>
      </w:r>
    </w:p>
    <w:p>
      <w:r>
        <w:t xml:space="preserve">b) Nicht verjährt ist ebenfalls die Tat vom 15. August 1987, bei der die</w:t>
      </w:r>
    </w:p>
    <w:p>
      <w:r>
        <w:t xml:space="preserve">Verjährungszeit bezüglich beider Straftatbestände 10 Jahre beträgt.</w:t>
      </w:r>
    </w:p>
    <w:p>
      <w:r>
        <w:t xml:space="preserve">c) Auch für die Tat vom 21. Juni 1987, die erstmals Gegenstand des an-</w:t>
      </w:r>
    </w:p>
    <w:p>
      <w:r>
        <w:t xml:space="preserve">gefochtenen Haftbefehls ist, ist Verjährung noch nicht eingetreten. Die 20 Jah-</w:t>
      </w:r>
    </w:p>
    <w:p>
      <w:r>
        <w:t xml:space="preserve">re betragende Verjährungsfrist bezüglich der versuchten Herbeiführung eines</w:t>
      </w:r>
    </w:p>
    <w:p>
      <w:r>
        <w:t xml:space="preserve">Sprengstoffverbrechens war am 30. Juni 1998 noch nicht abgelaufen. Bezüg-</w:t>
      </w:r>
    </w:p>
    <w:p>
      <w:r>
        <w:t xml:space="preserve">lich der mitgliedschaftlichen Beteiligung an einer terroristischen Vereinigung</w:t>
      </w:r>
    </w:p>
    <w:p>
      <w:r>
        <w:t xml:space="preserve">gilt das unter vorstehend a) Gesagte mit der Besonderheit, daß hier bereits</w:t>
      </w:r>
    </w:p>
    <w:p>
      <w:r>
        <w:t xml:space="preserve">zum Zeitpunkt der Tat § 129 a StGB ein Verbrechen war und die Verjährungs-</w:t>
      </w:r>
    </w:p>
    <w:p>
      <w:r>
        <w:t xml:space="preserve">frist 10 Jahre betrug.</w:t>
      </w:r>
    </w:p>
    <w:p>
      <w:r>
        <w:t xml:space="preserve">2. Auch im übrigen liegen die Voraussetzungen für den Erlaß des an-</w:t>
      </w:r>
    </w:p>
    <w:p>
      <w:r>
        <w:t xml:space="preserve">gefochtenen Haftbefehls vor.</w:t>
      </w:r>
    </w:p>
    <w:p>
      <w:r>
        <w:t xml:space="preserve">Kutzer Rissing-van Saan Pfister</w:t>
      </w:r>
    </w:p>
    <w:p>
      <w:r>
        <w:rPr>
          <w:color w:val="555555"/>
          <w:sz w:val="17"/>
        </w:rPr>
        <w:t xml:space="preserve">Zitiervorschlag: BGH, Beschluss vom 18.02.2000 – StB 2/00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https://recht.nulegal.eu/rechtsprechung/bgh/2000-02-18/stb-2-00</w:t>
      </w:r>
    </w:p>
    <w:p>
      <w:r>
        <w:rPr>
          <w:color w:val="767676"/>
          <w:sz w:val="15"/>
        </w:rPr>
        <w:t xml:space="preserve">nu:legal · recht.nulegal.eu · Nicht-amtliche Fassung. Maßgeblich ist die Fassung des Gerichts.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