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BGH, Beschluss vom 21.01.2000 – BLw 28/99</w:t>
      </w:r>
    </w:p>
    <w:p>
      <w:r>
        <w:rPr>
          <w:color w:val="555555"/>
          <w:sz w:val="18"/>
        </w:rPr>
        <w:t xml:space="preserve">Senat fuer Landwirtschaftssachen</w:t>
      </w:r>
    </w:p>
    <w:p>
      <w:r>
        <w:t xml:space="preserve">BUNDESGERICHTSHOF</w:t>
      </w:r>
    </w:p>
    <w:p>
      <w:r>
        <w:t xml:space="preserve">BLw 28/99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21. Januar 2000</w:t>
      </w:r>
    </w:p>
    <w:p>
      <w:r>
        <w:t xml:space="preserve">in der Landwirtschaftssache</w:t>
      </w:r>
    </w:p>
    <w:p>
      <w:r>
        <w:t xml:space="preserve">Der Bundesgerichtshof, Senat für Landwirtschaftssachen, hat am 21. Januar</w:t>
      </w:r>
    </w:p>
    <w:p>
      <w:r>
        <w:t xml:space="preserve">2000 durch den Vorsitzenden Richter Dr. Wenzel und die Richter Dr. Vogt und</w:t>
      </w:r>
    </w:p>
    <w:p>
      <w:r>
        <w:t xml:space="preserve">Prof. Dr. Krüger - gemäß § 20 Abs. 1 Nr. 4 LwVG ohne Zuziehung ehrenamtli-</w:t>
      </w:r>
    </w:p>
    <w:p>
      <w:r>
        <w:t xml:space="preserve">cher Richter -</w:t>
      </w:r>
    </w:p>
    <w:p>
      <w:r>
        <w:t xml:space="preserve">beschlossen:</w:t>
      </w:r>
    </w:p>
    <w:p>
      <w:r>
        <w:t xml:space="preserve">Die Rechtsbeschwerde gegen den auf mündliche Verhandlung</w:t>
      </w:r>
    </w:p>
    <w:p>
      <w:r>
        <w:t xml:space="preserve">vom 3. August 1999 ergangenen Beschluß des 10. Zivilsenats</w:t>
      </w:r>
    </w:p>
    <w:p>
      <w:r>
        <w:t xml:space="preserve">des Oberlandesgerichts Hamm - Landwirtschaftssenat - wird auf</w:t>
      </w:r>
    </w:p>
    <w:p>
      <w:r>
        <w:t xml:space="preserve">Kosten des Beteiligten zu 1 als unzulässig verworfen.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t xml:space="preserve">Der Beteiligte zu 1 beantragt die Erteilung eines Hoffolgezeugnisses</w:t>
      </w:r>
    </w:p>
    <w:p>
      <w:r>
        <w:t xml:space="preserve">nach seinem verstorbenen Bruder. Dieser Antrag hat in den Tatsacheninstan-</w:t>
      </w:r>
    </w:p>
    <w:p>
      <w:r>
        <w:t xml:space="preserve">zen keinen Erfolg gehabt. Dagegen richtet sich die Rechtsbeschwerde des</w:t>
      </w:r>
    </w:p>
    <w:p>
      <w:r>
        <w:t xml:space="preserve">Beteiligten zu 1.</w:t>
      </w:r>
    </w:p>
    <w:p>
      <w:r>
        <w:t xml:space="preserve">II.</w:t>
      </w:r>
    </w:p>
    <w:p>
      <w:r>
        <w:t xml:space="preserve">Die Rechtsbeschwerde ist unzulässig. Das Beschwerdegericht hat sie</w:t>
      </w:r>
    </w:p>
    <w:p>
      <w:r>
        <w:t xml:space="preserve">nicht zugelassen (§ 24 Abs. 1 LwVG). Da ein Fall von § 24 Abs. 2 Nr. 2 LwVG</w:t>
      </w:r>
    </w:p>
    <w:p>
      <w:r>
        <w:t xml:space="preserve">nicht vorliegt, wäre sie nur statthaft, wenn die Voraussetzungen des § 24</w:t>
      </w:r>
    </w:p>
    <w:p>
      <w:r>
        <w:t xml:space="preserve">Abs. 2 Nr. 1 LwVG vorlägen (vgl. dazu näher BGHZ 89, 149, 151 ff). Das ist</w:t>
      </w:r>
    </w:p>
    <w:p>
      <w:r>
        <w:t xml:space="preserve">nicht der Fall. Die Rechtsbeschwerde legt einen Abweichungsfall nicht dar. Das</w:t>
      </w:r>
    </w:p>
    <w:p>
      <w:r>
        <w:t xml:space="preserve">Beschwerdegericht hat aus näher festgestellten tatsächlichen Gründen die</w:t>
      </w:r>
    </w:p>
    <w:p>
      <w:r>
        <w:t xml:space="preserve">Wirtschaftsfähigkeit des Beteiligten zu 1 verneint. Dagegen erhebt die Rechts-</w:t>
      </w:r>
    </w:p>
    <w:p>
      <w:r>
        <w:t xml:space="preserve">beschwerde nur materielle und formelle Rügen, ohne darzulegen, welchen</w:t>
      </w:r>
    </w:p>
    <w:p>
      <w:r>
        <w:t xml:space="preserve">Rechtssatz das Beschwerdegericht aufgestellt haben soll, mit dem es von ei-</w:t>
      </w:r>
    </w:p>
    <w:p>
      <w:r>
        <w:t xml:space="preserve">nem anderen Rechtssatz eines der in § 24 Abs. 2 Nr. 1 LwVG bezeichneten</w:t>
      </w:r>
    </w:p>
    <w:p>
      <w:r>
        <w:t xml:space="preserve">Gerichte oder des Bundesverfassungsgerichts abweicht.</w:t>
      </w:r>
    </w:p>
    <w:p>
      <w:r>
        <w:t xml:space="preserve">Die Kostenentscheidung folgt aus § 44 LwVG.</w:t>
      </w:r>
    </w:p>
    <w:p>
      <w:r>
        <w:t xml:space="preserve">Wenzel</w:t>
      </w:r>
    </w:p>
    <w:p>
      <w:r>
        <w:t xml:space="preserve">Vogt</w:t>
      </w:r>
    </w:p>
    <w:p>
      <w:r>
        <w:t xml:space="preserve">Krüger</w:t>
      </w:r>
    </w:p>
    <w:p>
      <w:r>
        <w:rPr>
          <w:color w:val="555555"/>
          <w:sz w:val="17"/>
        </w:rPr>
        <w:t xml:space="preserve">Zitiervorschlag: BGH, Beschluss vom 21.01.2000 – BLw 28/99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https://recht.nulegal.eu/rechtsprechung/bgh/2000-01-21/blw-28-99</w:t>
      </w:r>
    </w:p>
    <w:p>
      <w:r>
        <w:rPr>
          <w:color w:val="767676"/>
          <w:sz w:val="15"/>
        </w:rPr>
        <w:t xml:space="preserve">nu:legal · recht.nulegal.eu · Nicht-amtliche Fassung. Maßgeblich ist die Fassung des Gerichts.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