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Beschluß vom 20.01.2000 – 4 StR 342/99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4 StR 342/99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20. Januar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Bestechlichkeit u.a.</w:t>
      </w:r>
    </w:p>
    <w:p>
      <w:r>
        <w:t xml:space="preserve">Der 4. Strafsenat des Bundesgerichtshofs hat in der Sitzung vom 20. Januar</w:t>
      </w:r>
    </w:p>
    <w:p>
      <w:r>
        <w:t xml:space="preserve">2000, an der teilgenommen haben:</w:t>
      </w:r>
    </w:p>
    <w:p>
      <w:r>
        <w:t xml:space="preserve">Vorsitzender Richter am Bundesgerichtshof</w:t>
      </w:r>
    </w:p>
    <w:p>
      <w:r>
        <w:t xml:space="preserve">Prof. Dr. Meyer-Goßner,</w:t>
      </w:r>
    </w:p>
    <w:p>
      <w:r>
        <w:t xml:space="preserve">die Richter am Bundesgerichtshof</w:t>
      </w:r>
    </w:p>
    <w:p>
      <w:r>
        <w:t xml:space="preserve">Maatz,</w:t>
      </w:r>
    </w:p>
    <w:p>
      <w:r>
        <w:t xml:space="preserve">Dr. Kuckein,</w:t>
      </w:r>
    </w:p>
    <w:p>
      <w:r>
        <w:t xml:space="preserve">Athing,</w:t>
      </w:r>
    </w:p>
    <w:p>
      <w:r>
        <w:t xml:space="preserve">die Richterin am Bundesgerichtshof</w:t>
      </w:r>
    </w:p>
    <w:p>
      <w:r>
        <w:t xml:space="preserve">(cid:0)(cid:2)(cid:1)(cid:4)(cid:3)(cid:6)(cid:5)(cid:8)(cid:7)(cid:10)(cid:9)(cid:12)(cid:11)(cid:13)(cid:0)(cid:14)(cid:7)(cid:2)(cid:15)(cid:17)(cid:16)(cid:19)(cid:18)</w:t>
      </w:r>
    </w:p>
    <w:p>
      <w:r>
        <w:t xml:space="preserve">Soli</w:t>
      </w:r>
    </w:p>
    <w:p>
      <w:r>
        <w:t xml:space="preserve">als beisitzende Richter,</w:t>
      </w:r>
    </w:p>
    <w:p>
      <w:r>
        <w:t xml:space="preserve">Bundesanwalt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als Verteidiger,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I.</w:t>
      </w:r>
    </w:p>
    <w:p>
      <w:r>
        <w:t xml:space="preserve">Auf die Revision des Angeklagten wird das Urteil des</w:t>
      </w:r>
    </w:p>
    <w:p>
      <w:r>
        <w:t xml:space="preserve">Landgerichts Halle vom 4. Februar 1999</w:t>
      </w:r>
    </w:p>
    <w:p>
      <w:r>
        <w:t xml:space="preserve">1. mit den Feststellungen aufgehoben</w:t>
      </w:r>
    </w:p>
    <w:p>
      <w:r>
        <w:t xml:space="preserve">a)</w:t>
      </w:r>
    </w:p>
    <w:p>
      <w:r>
        <w:t xml:space="preserve">soweit der Angeklagte in den Fällen II B 2 und 3</w:t>
      </w:r>
    </w:p>
    <w:p>
      <w:r>
        <w:t xml:space="preserve">der Urteilsgründe wegen Beihilfe zur Bestech-</w:t>
      </w:r>
    </w:p>
    <w:p>
      <w:r>
        <w:t xml:space="preserve">lichkeit verurteilt worden ist; insoweit wird das</w:t>
      </w:r>
    </w:p>
    <w:p>
      <w:r>
        <w:t xml:space="preserve">Verfahren eingestellt und werden die Kosten des</w:t>
      </w:r>
    </w:p>
    <w:p>
      <w:r>
        <w:t xml:space="preserve">Verfahrens und notwendigen Auslagen des An-</w:t>
      </w:r>
    </w:p>
    <w:p>
      <w:r>
        <w:t xml:space="preserve">geklagten der Staatskasse auferlegt,</w:t>
      </w:r>
    </w:p>
    <w:p>
      <w:r>
        <w:t xml:space="preserve">b)</w:t>
      </w:r>
    </w:p>
    <w:p>
      <w:r>
        <w:t xml:space="preserve">soweit der Angeklagte im Fall II B 1 der Urteils-</w:t>
      </w:r>
    </w:p>
    <w:p>
      <w:r>
        <w:t xml:space="preserve">gründe wegen "Bestechlichkeit durch Unterlas-</w:t>
      </w:r>
    </w:p>
    <w:p>
      <w:r>
        <w:t xml:space="preserve">sen der Diensthandlung" verurteilt worden ist,</w:t>
      </w:r>
    </w:p>
    <w:p>
      <w:r>
        <w:t xml:space="preserve">2.</w:t>
      </w:r>
    </w:p>
    <w:p>
      <w:r>
        <w:t xml:space="preserve">im Schuldspruch dahin geändert, daß der Angeklagte</w:t>
      </w:r>
    </w:p>
    <w:p>
      <w:r>
        <w:t xml:space="preserve">der Untreue in neun statt in zwölf Fällen schuldig ist,</w:t>
      </w:r>
    </w:p>
    <w:p>
      <w:r>
        <w:t xml:space="preserve">3.</w:t>
      </w:r>
    </w:p>
    <w:p>
      <w:r>
        <w:t xml:space="preserve">in den die Fälle II D 4, 5, 7 bis 10 der Urteilsgründe</w:t>
      </w:r>
    </w:p>
    <w:p>
      <w:r>
        <w:t xml:space="preserve">betreffenden Einzelstrafaussprüchen und</w:t>
      </w:r>
    </w:p>
    <w:p>
      <w:r>
        <w:t xml:space="preserve">im Aus-</w:t>
      </w:r>
    </w:p>
    <w:p>
      <w:r>
        <w:t xml:space="preserve">spruch über die Gesamtstrafe mit den Feststellungen</w:t>
      </w:r>
    </w:p>
    <w:p>
      <w:r>
        <w:t xml:space="preserve">aufgehoben.</w:t>
      </w:r>
    </w:p>
    <w:p>
      <w:r>
        <w:t xml:space="preserve">II.</w:t>
      </w:r>
    </w:p>
    <w:p>
      <w:r>
        <w:t xml:space="preserve">Im Umfang der Aufhebung (I 1 b und 3) wird die Sache zu</w:t>
      </w:r>
    </w:p>
    <w:p>
      <w:r>
        <w:t xml:space="preserve">neuer Verhandlung und Entscheidung, auch über die</w:t>
      </w:r>
    </w:p>
    <w:p>
      <w:r>
        <w:t xml:space="preserve">(übrigen) Kosten des Rechtsmittels, an eine andere Wirt-</w:t>
      </w:r>
    </w:p>
    <w:p>
      <w:r>
        <w:t xml:space="preserve">schaftsstrafkammer des Landgerichts zurückverwiesen.</w:t>
      </w:r>
    </w:p>
    <w:p>
      <w:r>
        <w:t xml:space="preserve">III.</w:t>
      </w:r>
    </w:p>
    <w:p>
      <w:r>
        <w:t xml:space="preserve">Die weiter gehende Revision wird verworfen.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I. Das Landgericht hat den Angeklagten – unter Freisprechung im übri-</w:t>
      </w:r>
    </w:p>
    <w:p>
      <w:r>
        <w:t xml:space="preserve">gen - wegen ”Bestechlichkeit durch Unterlassen der Diensthandlung, Beihilfe</w:t>
      </w:r>
    </w:p>
    <w:p>
      <w:r>
        <w:t xml:space="preserve">zur Bestechlichkeit in zwei Fällen, Beihilfe zur Untreue in fünf Fällen und Un-</w:t>
      </w:r>
    </w:p>
    <w:p>
      <w:r>
        <w:t xml:space="preserve">treue in zwölf Fällen” zu einer Gesamtfreiheitsstrafe von drei Jahren verurteilt.</w:t>
      </w:r>
    </w:p>
    <w:p>
      <w:r>
        <w:t xml:space="preserve">Hiergegen wendet sich der Angeklagte mit seiner Revision, mit der er das</w:t>
      </w:r>
    </w:p>
    <w:p>
      <w:r>
        <w:t xml:space="preserve">Verfahren beanstandet und die Verletzung materiellen Rechts rügt. Das</w:t>
      </w:r>
    </w:p>
    <w:p>
      <w:r>
        <w:t xml:space="preserve">Rechtsmittel hat teilweise Erfolg; im übrigen ist es unbegründet im Sinne des</w:t>
      </w:r>
    </w:p>
    <w:p>
      <w:r>
        <w:t xml:space="preserve">§ 349 Abs. 2 StPO.</w:t>
      </w:r>
    </w:p>
    <w:p>
      <w:r>
        <w:t xml:space="preserve">II. Der Angeklagte kann mit seinen Verfahrensrügen aus den vom Gene-</w:t>
      </w:r>
    </w:p>
    <w:p>
      <w:r>
        <w:t xml:space="preserve">ralbundesanwalt in seiner Antragsschrift vom 17. August 1999 zutreffend dar-</w:t>
      </w:r>
    </w:p>
    <w:p>
      <w:r>
        <w:t xml:space="preserve">gelegten Gründen nicht durchdringen.</w:t>
      </w:r>
    </w:p>
    <w:p>
      <w:r>
        <w:t xml:space="preserve">III. Das Rechtsmittel ist jedoch insoweit erfolgreich, als das Landgericht</w:t>
      </w:r>
    </w:p>
    <w:p>
      <w:r>
        <w:t xml:space="preserve">den Angeklagten wegen Bestechlichkeit und Beihilfe zur Bestechlichkeit in zwei</w:t>
      </w:r>
    </w:p>
    <w:p>
      <w:r>
        <w:t xml:space="preserve">Fällen verurteilt hat (Fälle II B 1 bis 3 der Urteilsgründe).</w:t>
      </w:r>
    </w:p>
    <w:p>
      <w:r>
        <w:t xml:space="preserve">1. Die Verurteilung des Angeklagten wegen Bestechlichkeit im Fall II B 1</w:t>
      </w:r>
    </w:p>
    <w:p>
      <w:r>
        <w:t xml:space="preserve">der Urteilsgründe kann nicht bestehen bleiben, weil sie einerseits einen ande-</w:t>
      </w:r>
    </w:p>
    <w:p>
      <w:r>
        <w:t xml:space="preserve">ren Sachverhalt zum Gegenstand hat als den, der durch Anklage und Eröff-</w:t>
      </w:r>
    </w:p>
    <w:p>
      <w:r>
        <w:t xml:space="preserve">nungsbeschluß bestimmt war, andererseits das Landgericht den angeklagten</w:t>
      </w:r>
    </w:p>
    <w:p>
      <w:r>
        <w:t xml:space="preserve">Sachverhalt nicht erschöpfend behandelt hat.</w:t>
      </w:r>
    </w:p>
    <w:p>
      <w:r>
        <w:t xml:space="preserve">a) Die Anklage geht davon aus, der Bürgermeister der Gemeinde H.</w:t>
      </w:r>
    </w:p>
    <w:p>
      <w:r>
        <w:t xml:space="preserve">S. und der Angeklagte als deren Amtsleiter - und damit als</w:t>
      </w:r>
    </w:p>
    <w:p>
      <w:r>
        <w:t xml:space="preserve">Amtsträger im Sinne des § 11 Abs. 1 Nr. 2 Buchst. c) StGB a.F. (vgl. dazu</w:t>
      </w:r>
    </w:p>
    <w:p>
      <w:r>
        <w:t xml:space="preserve">BGHSt 43, 96) - hätten unter Umgehung der einschlägigen Vorschriften Pla-</w:t>
      </w:r>
    </w:p>
    <w:p>
      <w:r>
        <w:t xml:space="preserve">nungs- und Baumaßnahmen nicht ausgeschrieben bzw. ausschreiben lassen,</w:t>
      </w:r>
    </w:p>
    <w:p>
      <w:r>
        <w:t xml:space="preserve">sondern Aufträge gegen Zahlung von Provisionen vergeben. Das Landgericht</w:t>
      </w:r>
    </w:p>
    <w:p>
      <w:r>
        <w:t xml:space="preserve">hat demgegenüber eine nach § 332 StGB strafbare Beteiligung des Angeklag-</w:t>
      </w:r>
    </w:p>
    <w:p>
      <w:r>
        <w:t xml:space="preserve">ten an dieser ”Grundvereinbarung” nicht angenommen. Es erblickt die konklu-</w:t>
      </w:r>
    </w:p>
    <w:p>
      <w:r>
        <w:t xml:space="preserve">dente Unrechtsvereinbarung des Angeklagten vielmehr in der Annahme der</w:t>
      </w:r>
    </w:p>
    <w:p>
      <w:r>
        <w:t xml:space="preserve">Zahlungen vom 15. März und 6. Mai 1994 des S. an ihn "vor dem Hinter-</w:t>
      </w:r>
    </w:p>
    <w:p>
      <w:r>
        <w:t xml:space="preserve">grund der Teilnahme an dem Vierergespräch im Gemeindeamt und dem Wis-</w:t>
      </w:r>
    </w:p>
    <w:p>
      <w:r>
        <w:t xml:space="preserve">sen von der regelwidrigen Ausschreibungs- und Vergabepraxis” (UA 91). Als</w:t>
      </w:r>
    </w:p>
    <w:p>
      <w:r>
        <w:t xml:space="preserve">pflichtwidrige Handlung, die das Äquivalent für die Zahlungen darstellte, sieht</w:t>
      </w:r>
    </w:p>
    <w:p>
      <w:r>
        <w:t xml:space="preserve">das Landgericht das Unterlassen (§ 336 StGB n.F. = § 335 StGB a.F.) der sich</w:t>
      </w:r>
    </w:p>
    <w:p>
      <w:r>
        <w:t xml:space="preserve">aus der Stellung des Angeklagten als Amtsleiter der Gemeinde ergebenden</w:t>
      </w:r>
    </w:p>
    <w:p>
      <w:r>
        <w:t xml:space="preserve">Pflicht an, ”sein Wissen von der in Realisierung des zuvor gefaßten Planes</w:t>
      </w:r>
    </w:p>
    <w:p>
      <w:r>
        <w:t xml:space="preserve">rechtswidrigen Vergabepraxis offenkundig (zu) machen” (UA 91). Während die</w:t>
      </w:r>
    </w:p>
    <w:p>
      <w:r>
        <w:t xml:space="preserve">Anklage mithin von einer Unrechtsvereinbarung zwischen dem Angeklagten</w:t>
      </w:r>
    </w:p>
    <w:p>
      <w:r>
        <w:t xml:space="preserve">und S. auf der einen Seite und den Vertretern der von ihnen begünstigten</w:t>
      </w:r>
    </w:p>
    <w:p>
      <w:r>
        <w:t xml:space="preserve">Firmen auf der anderen Seite ausgeht, hat das Landgericht eine Unrechtsver-</w:t>
      </w:r>
    </w:p>
    <w:p>
      <w:r>
        <w:t xml:space="preserve">einbarung zwischen S. und dem Angeklagten angenommen und die als</w:t>
      </w:r>
    </w:p>
    <w:p>
      <w:r>
        <w:t xml:space="preserve">Bestechlichkeit gewertete Tathandlung des Angeklagten darin gesehen, daß er</w:t>
      </w:r>
    </w:p>
    <w:p>
      <w:r>
        <w:t xml:space="preserve">”in Vereinbarung mit S. zu den ihm bekannten Vorgängen geschwiegen</w:t>
      </w:r>
    </w:p>
    <w:p>
      <w:r>
        <w:t xml:space="preserve">und hierfür &lt;erg.: von S. &gt; einen Vorteil erlangt hat” (UA 91). Damit ist das</w:t>
      </w:r>
    </w:p>
    <w:p>
      <w:r>
        <w:t xml:space="preserve">Urteil von einer anderen Tat i.S.d. § 264 StPO ausgegangen als die Anklage:</w:t>
      </w:r>
    </w:p>
    <w:p>
      <w:r>
        <w:t xml:space="preserve">Der - als Partner der Unrechtsvereinbarung in Erscheinung tretende -</w:t>
      </w:r>
    </w:p>
    <w:p>
      <w:r>
        <w:t xml:space="preserve">Vorteilsgeber prägt das Tatbild der Bestechlichkeit so entscheidend, daß die</w:t>
      </w:r>
    </w:p>
    <w:p>
      <w:r>
        <w:t xml:space="preserve">Tatidentität bei einem - wie hier vorgenommenen - Austausch seiner Person</w:t>
      </w:r>
    </w:p>
    <w:p>
      <w:r>
        <w:t xml:space="preserve">zumal dann nicht gewahrt ist, wenn der (nach Anklage) Bestochene (§ 332</w:t>
      </w:r>
    </w:p>
    <w:p>
      <w:r>
        <w:t xml:space="preserve">StGB) nunmehr seinerseits als Täter der Bestechung (§ 334 StGB) erscheint.</w:t>
      </w:r>
    </w:p>
    <w:p>
      <w:r>
        <w:t xml:space="preserve">Dies gilt hier umso mehr, als sich die Art und der Inhalt der von dem Ange-</w:t>
      </w:r>
    </w:p>
    <w:p>
      <w:r>
        <w:t xml:space="preserve">klagten für die Gewährung des Vorteils erwarteten oder erbrachten Gegenlei-</w:t>
      </w:r>
    </w:p>
    <w:p>
      <w:r>
        <w:t xml:space="preserve">stung, nämlich des Unterlassens der Anzeige, maßgeblich von derjenigen un-</w:t>
      </w:r>
    </w:p>
    <w:p>
      <w:r>
        <w:t xml:space="preserve">terscheidet, die der ihm mit der Anklage angelasteten Unrechtsvereinbarung</w:t>
      </w:r>
    </w:p>
    <w:p>
      <w:r>
        <w:t xml:space="preserve">zugrunde liegt. Das vom Landgericht als pflichtwidrig erachtete ”Unterlassen</w:t>
      </w:r>
    </w:p>
    <w:p>
      <w:r>
        <w:t xml:space="preserve">der Diensthandlung” unterscheidet sich aber auch zumindest zeitlich von der</w:t>
      </w:r>
    </w:p>
    <w:p>
      <w:r>
        <w:t xml:space="preserve">angeklagten mittäterschaftlichen Mitwirkung an der ”Grundvereinbarung” und</w:t>
      </w:r>
    </w:p>
    <w:p>
      <w:r>
        <w:t xml:space="preserve">beruht dieser gegenüber auf einem nach Gegenstand und Zielrichtung völlig</w:t>
      </w:r>
    </w:p>
    <w:p>
      <w:r>
        <w:t xml:space="preserve">andersartigen Willensentschluß (vgl. BGH, Beschluß vom 27. Mai 1992 –</w:t>
      </w:r>
    </w:p>
    <w:p>
      <w:r>
        <w:t xml:space="preserve">2 StR 94/92). Gerade deshalb ist das Landgericht – an sich konsequent – da-</w:t>
      </w:r>
    </w:p>
    <w:p>
      <w:r>
        <w:t xml:space="preserve">von ausgegangen, daß erst durch die Annahme der Zahlungen S. s vom</w:t>
      </w:r>
    </w:p>
    <w:p>
      <w:r>
        <w:t xml:space="preserve">15. März und 6. Mai 1994 eine die Strafbarkeit des Angeklagten begründende</w:t>
      </w:r>
    </w:p>
    <w:p>
      <w:r>
        <w:t xml:space="preserve">Unrechtsvereinbarung zwischen ihnen getroffen wurde. Jedenfalls wenn es</w:t>
      </w:r>
    </w:p>
    <w:p>
      <w:r>
        <w:t xml:space="preserve">– wie hier – hinsichtlich des für die Beurteilung der Korruptionstatbestände</w:t>
      </w:r>
    </w:p>
    <w:p>
      <w:r>
        <w:t xml:space="preserve">maßgebenden Beziehungsgeflechts an der Identität sämtlicher dafür prägen-</w:t>
      </w:r>
    </w:p>
    <w:p>
      <w:r>
        <w:t xml:space="preserve">den Umstände fehlt, und zwar an der Identität sowohl der an der Unrechtsver-</w:t>
      </w:r>
    </w:p>
    <w:p>
      <w:r>
        <w:t xml:space="preserve">einbarung beteiligten Personen als auch des Inhalts der Unrechtsvereinbarung</w:t>
      </w:r>
    </w:p>
    <w:p>
      <w:r>
        <w:t xml:space="preserve">selbst und des ihr zugrundeliegenden Austauschverhältnisses, ist die Nämlich-</w:t>
      </w:r>
    </w:p>
    <w:p>
      <w:r>
        <w:t xml:space="preserve">keit der Tat im Sinne des § 264 StPO nicht mehr gewahrt. Allein der Umstand,</w:t>
      </w:r>
    </w:p>
    <w:p>
      <w:r>
        <w:t xml:space="preserve">daß beide Sachverhalte ursächlich miteinander verknüpft sind, begründet noch</w:t>
      </w:r>
    </w:p>
    <w:p>
      <w:r>
        <w:t xml:space="preserve">keine Tatidentität (BGHSt 43, 96, 98).</w:t>
      </w:r>
    </w:p>
    <w:p>
      <w:r>
        <w:t xml:space="preserve">b) Zur Aburteilung der vom Landgericht als Bestechlichkeit angenom-</w:t>
      </w:r>
    </w:p>
    <w:p>
      <w:r>
        <w:t xml:space="preserve">menen Tathandlung hätte es deshalb einer Nachtragsanklage bedurft, die aber</w:t>
      </w:r>
    </w:p>
    <w:p>
      <w:r>
        <w:t xml:space="preserve">nicht erhoben ist. Der in der Hauptverhandlung erteilte rechtliche Hinweis nach</w:t>
      </w:r>
    </w:p>
    <w:p>
      <w:r>
        <w:t xml:space="preserve">§ 265 StPO (Protokollband II Bl. 113, 117) vermag die fehlende Anklage nicht</w:t>
      </w:r>
    </w:p>
    <w:p>
      <w:r>
        <w:t xml:space="preserve">zu ersetzen.</w:t>
      </w:r>
    </w:p>
    <w:p>
      <w:r>
        <w:t xml:space="preserve">Der aufgezeigte Mangel führt hier nicht zur Einstellung des Verfahrens</w:t>
      </w:r>
    </w:p>
    <w:p>
      <w:r>
        <w:t xml:space="preserve">wegen eines Verfahrenshindernisses. Vielmehr hebt der Senat das Urteil inso-</w:t>
      </w:r>
    </w:p>
    <w:p>
      <w:r>
        <w:t xml:space="preserve">weit auf und verweist die Sache an das Landgericht zurück, weil nicht ausge-</w:t>
      </w:r>
    </w:p>
    <w:p>
      <w:r>
        <w:t xml:space="preserve">schlossen ist, daß in einer neuen Hauptverhandlung eindeutige Feststellungen</w:t>
      </w:r>
    </w:p>
    <w:p>
      <w:r>
        <w:t xml:space="preserve">getroffen werden können, die eine Verurteilung im Fall B II 1 auf der Grundlage</w:t>
      </w:r>
    </w:p>
    <w:p>
      <w:r>
        <w:t xml:space="preserve">der Anklage zulassen (vgl. Kleinknecht/Meyer-Goßner StPO 44. Aufl. § 354</w:t>
      </w:r>
    </w:p>
    <w:p>
      <w:r>
        <w:t xml:space="preserve">Rdn. 6; Kuckein in KK/StPO 4. Aufl. § 354 Rdn. 7, jew. m.w.N.). Das wäre der</w:t>
      </w:r>
    </w:p>
    <w:p>
      <w:r>
        <w:t xml:space="preserve">Fall, wenn der Angeklagte am Abschluß der ”Grundvereinbarung” anläßlich des</w:t>
      </w:r>
    </w:p>
    <w:p>
      <w:r>
        <w:t xml:space="preserve">Vierergesprächs als Mittäter des S. beteiligt war und beide sich dabei mit</w:t>
      </w:r>
    </w:p>
    <w:p>
      <w:r>
        <w:t xml:space="preserve">der von R. zugesagten Provisionszahlung einen Vorteil als Gegenlei-</w:t>
      </w:r>
    </w:p>
    <w:p>
      <w:r>
        <w:t xml:space="preserve">stung für pflichtwidrige Diensthandlungen haben versprechen lassen, wenn</w:t>
      </w:r>
    </w:p>
    <w:p>
      <w:r>
        <w:t xml:space="preserve">somit unter den an dem ”Vierergespräch” Beteiligten von vornherein Einigkeit</w:t>
      </w:r>
    </w:p>
    <w:p>
      <w:r>
        <w:t xml:space="preserve">bestanden hatte, daß der Angeklagte selbst durch pflichtwidriges Handeln im</w:t>
      </w:r>
    </w:p>
    <w:p>
      <w:r>
        <w:t xml:space="preserve">Amt gegenüber den begünstigten Firmen mitwirken und dafür unmittelbar an</w:t>
      </w:r>
    </w:p>
    <w:p>
      <w:r>
        <w:t xml:space="preserve">den von S. vereinnahmten Bestechungsgeldern beteiligt werden sollte</w:t>
      </w:r>
    </w:p>
    <w:p>
      <w:r>
        <w:t xml:space="preserve">(vgl. BGH NJW 1964, 2260 f.; Cramer in Schönke/Schröder StGB 25. Aufl.</w:t>
      </w:r>
    </w:p>
    <w:p>
      <w:r>
        <w:t xml:space="preserve">§ 332 Rdn. 21 a.E.). Es könnte aber auch für den Angeklagten Beihilfe (§ 27</w:t>
      </w:r>
    </w:p>
    <w:p>
      <w:r>
        <w:t xml:space="preserve">StGB) zur Bestechlichkeit des S. in Betracht kommen; Gründe für eine</w:t>
      </w:r>
    </w:p>
    <w:p>
      <w:r>
        <w:t xml:space="preserve">bloße Gehilfenstellung des Angeklagten könnten gefunden werden in der do-</w:t>
      </w:r>
    </w:p>
    <w:p>
      <w:r>
        <w:t xml:space="preserve">minierenden Stellung S. s als Vorgesetztem des Angeklagten, dem Um-</w:t>
      </w:r>
    </w:p>
    <w:p>
      <w:r>
        <w:t xml:space="preserve">stand, daß sämtliche Provisionen zunächst von S. vereinnahmt wurden,</w:t>
      </w:r>
    </w:p>
    <w:p>
      <w:r>
        <w:t xml:space="preserve">der in ihrem Gewicht auch im übrigen erheblich voneinander abweichenden</w:t>
      </w:r>
    </w:p>
    <w:p>
      <w:r>
        <w:t xml:space="preserve">Tatbeiträge des S. einerseits und des Angeklagten andererseits sowie der</w:t>
      </w:r>
    </w:p>
    <w:p>
      <w:r>
        <w:t xml:space="preserve">subjektiven Tatseite beim Angeklagten, der Angst um seinen Arbeitsplatz hatte,</w:t>
      </w:r>
    </w:p>
    <w:p>
      <w:r>
        <w:t xml:space="preserve">wenn er sich S. widersetzte.</w:t>
      </w:r>
    </w:p>
    <w:p>
      <w:r>
        <w:t xml:space="preserve">2. In den Fällen II B 2 und 3 der Urteilsgründe führt die Revision zur Ein-</w:t>
      </w:r>
    </w:p>
    <w:p>
      <w:r>
        <w:t xml:space="preserve">stellung des Verfahrens. Die jeweils als Beihilfe zur Bestechlichkeit bewerteten</w:t>
      </w:r>
    </w:p>
    <w:p>
      <w:r>
        <w:t xml:space="preserve">Taten sind – wie der Generalbundesanwalt zutreffend dargelegt hat - von der</w:t>
      </w:r>
    </w:p>
    <w:p>
      <w:r>
        <w:t xml:space="preserve">Anklage vom 20. Dezember 1996 nicht erfaßt.</w:t>
      </w:r>
    </w:p>
    <w:p>
      <w:r>
        <w:t xml:space="preserve">Die abgeurteilten Beihilfehandlungen bestanden in der Erstellung bzw.</w:t>
      </w:r>
    </w:p>
    <w:p>
      <w:r>
        <w:t xml:space="preserve">dem Überbringen der von Bernd S. ausgehandelten ”Provisionsverträge”,</w:t>
      </w:r>
    </w:p>
    <w:p>
      <w:r>
        <w:t xml:space="preserve">auf deren Unterzeichnung durch die Firma B. und die Firma Sch. &amp; Sohn</w:t>
      </w:r>
    </w:p>
    <w:p>
      <w:r>
        <w:t xml:space="preserve">GmbH der Angeklagte hinwirkte. Der Firma Sch. &amp; Sohn GmbH handelte er</w:t>
      </w:r>
    </w:p>
    <w:p>
      <w:r>
        <w:t xml:space="preserve">zusätzlich ein Sponsoring für einen ortsansässigen Verein ab.</w:t>
      </w:r>
    </w:p>
    <w:p>
      <w:r>
        <w:t xml:space="preserve">Diese Vereinbarungen begründen jeweils gegenüber der vorgangegan-</w:t>
      </w:r>
    </w:p>
    <w:p>
      <w:r>
        <w:t xml:space="preserve">genen, von S. mit R. und U. getroffenen ”Grundvereinbarung”</w:t>
      </w:r>
    </w:p>
    <w:p>
      <w:r>
        <w:t xml:space="preserve">selbständige Beziehungsverhältnisse. Es liegt keine einheitliche Unrechtsver-</w:t>
      </w:r>
    </w:p>
    <w:p>
      <w:r>
        <w:t xml:space="preserve">einbarung vor, durch die das Äquivalenzverhältnis von pflichtwidriger Dienst-</w:t>
      </w:r>
    </w:p>
    <w:p>
      <w:r>
        <w:t xml:space="preserve">handlung und dem zu leistenden Vorteil von vornherein genau festgelegt war.</w:t>
      </w:r>
    </w:p>
    <w:p>
      <w:r>
        <w:t xml:space="preserve">Nach den Feststellungen stand nicht von vornherein fest, mit welchen Firmen</w:t>
      </w:r>
    </w:p>
    <w:p>
      <w:r>
        <w:t xml:space="preserve">S. Bietergespräche durchführen und Schmiergeldzahlungen vereinbaren</w:t>
      </w:r>
    </w:p>
    <w:p>
      <w:r>
        <w:t xml:space="preserve">würde. Bei diese Sachlage bilden die einzelnen Verträge gegenüber der</w:t>
      </w:r>
    </w:p>
    <w:p>
      <w:r>
        <w:t xml:space="preserve">”Grundvereinbarung” jedenfalls materiell-rechtlich selbständige Taten (BGH</w:t>
      </w:r>
    </w:p>
    <w:p>
      <w:r>
        <w:t xml:space="preserve">NStZ 1995, 92; BGHR StGB vor § 1 Serienstraftaten Bestechlichkeit 1; BGH,</w:t>
      </w:r>
    </w:p>
    <w:p>
      <w:r>
        <w:t xml:space="preserve">Urteil vom 13. November 1997 – 1 StR 323/97 = NStZ-RR 1998, 269 und Be-</w:t>
      </w:r>
    </w:p>
    <w:p>
      <w:r>
        <w:t xml:space="preserve">schluß vom 19. Dezember 1995 – 4 StR 657/95). Das Landgericht hat folge-</w:t>
      </w:r>
    </w:p>
    <w:p>
      <w:r>
        <w:t xml:space="preserve">richtig rechtlich selbständige Fälle der Bestechlichkeit durch S. und dem-</w:t>
      </w:r>
    </w:p>
    <w:p>
      <w:r>
        <w:t xml:space="preserve">entsprechend auch selbständige Fälle der Beihilfe hierzu durch den Ange-</w:t>
      </w:r>
    </w:p>
    <w:p>
      <w:r>
        <w:t xml:space="preserve">klagten angenommen.</w:t>
      </w:r>
    </w:p>
    <w:p>
      <w:r>
        <w:t xml:space="preserve">Die beiden Fälle bilden gegenüber der ”Grundvereinbarung” aber auch</w:t>
      </w:r>
    </w:p>
    <w:p>
      <w:r>
        <w:t xml:space="preserve">jeweils eine andere Tat im Sinne des § 264 StPO. Das mag in Fällen zweifel-</w:t>
      </w:r>
    </w:p>
    <w:p>
      <w:r>
        <w:t xml:space="preserve">haft sein, in denen die Rechtsprechung materielle Tatmehrheit der Handlungen</w:t>
      </w:r>
    </w:p>
    <w:p>
      <w:r>
        <w:t xml:space="preserve">lediglich wegen des ”open-end”-Charakters der Vorteilsgewährung annimmt</w:t>
      </w:r>
    </w:p>
    <w:p>
      <w:r>
        <w:t xml:space="preserve">(BGH aaO). Hier war jedoch nicht nur die Laufzeit der Vorteilsgewährung unter</w:t>
      </w:r>
    </w:p>
    <w:p>
      <w:r>
        <w:t xml:space="preserve">denselben Personen offen. Vielmehr unterscheidet sich der Abschluß der ein-</w:t>
      </w:r>
    </w:p>
    <w:p>
      <w:r>
        <w:t xml:space="preserve">zelnen ”Provisionsverträge” mit den jeweiligen Firmen schon nach Zeit und Ort</w:t>
      </w:r>
    </w:p>
    <w:p>
      <w:r>
        <w:t xml:space="preserve">sowie nach den jeweils beteiligten Personen maßgeblich von der zwischen</w:t>
      </w:r>
    </w:p>
    <w:p>
      <w:r>
        <w:t xml:space="preserve">S. einerseits und U. und R. andererseits getroffenen</w:t>
      </w:r>
    </w:p>
    <w:p>
      <w:r>
        <w:t xml:space="preserve">”Grundvereinbarung”. Allein der auf Seiten S. s</w:t>
      </w:r>
    </w:p>
    <w:p>
      <w:r>
        <w:t xml:space="preserve">bestehende</w:t>
      </w:r>
    </w:p>
    <w:p>
      <w:r>
        <w:t xml:space="preserve">”motivatorische” Zusammenhang begründet noch nicht prozessuale Tateinheit</w:t>
      </w:r>
    </w:p>
    <w:p>
      <w:r>
        <w:t xml:space="preserve">(Handeln im Rahmen eines Gesamtplans, Pfeiffer StPO 2. Aufl. § 264 Rdn. 4).</w:t>
      </w:r>
    </w:p>
    <w:p>
      <w:r>
        <w:t xml:space="preserve">Ihr eigenständiges Gewicht kommt hier auch in dem Umstand zum Ausdruck,</w:t>
      </w:r>
    </w:p>
    <w:p>
      <w:r>
        <w:t xml:space="preserve">daß B. und Sch. in das vorangegangene Geschehen nicht einbezogen</w:t>
      </w:r>
    </w:p>
    <w:p>
      <w:r>
        <w:t xml:space="preserve">waren. S. hatte mit B. und Sch. jeweils eine – zwar auf das Gesamt-</w:t>
      </w:r>
    </w:p>
    <w:p>
      <w:r>
        <w:t xml:space="preserve">konzept zurückzuführende, aber eigenständige - Absprache über die Vergabe</w:t>
      </w:r>
    </w:p>
    <w:p>
      <w:r>
        <w:t xml:space="preserve">eines Auftrags gegen Provision zu treffen.</w:t>
      </w:r>
    </w:p>
    <w:p>
      <w:r>
        <w:t xml:space="preserve">In der Anklageschrift vom 20. Dezember 1996 werden diese Handlungen</w:t>
      </w:r>
    </w:p>
    <w:p>
      <w:r>
        <w:t xml:space="preserve">nicht erwähnt. Vielmehr werden - neben dem bereits oben dargelegten Inhalt -</w:t>
      </w:r>
    </w:p>
    <w:p>
      <w:r>
        <w:t xml:space="preserve">lediglich die festgestellten Zahlungseingänge für S. und den Angeklagten</w:t>
      </w:r>
    </w:p>
    <w:p>
      <w:r>
        <w:t xml:space="preserve">aufgeführt und beziffert. Es ist der Anklage auch nicht zu entnehmen, welchen</w:t>
      </w:r>
    </w:p>
    <w:p>
      <w:r>
        <w:t xml:space="preserve">Firmen Aufträge zur Durchführung von Bauarbeiten erteilt wurden und welche</w:t>
      </w:r>
    </w:p>
    <w:p>
      <w:r>
        <w:t xml:space="preserve">Firmen für die Zahlungseingänge verantwortlich zeichneten.</w:t>
      </w:r>
    </w:p>
    <w:p>
      <w:r>
        <w:t xml:space="preserve">Auch insoweit wäre mithin eine Nachtragsanklage erforderlich gewesen.</w:t>
      </w:r>
    </w:p>
    <w:p>
      <w:r>
        <w:t xml:space="preserve">Die rechtlichen Hinweise des Landgerichts im Eröffnungsbeschluß vom 23.</w:t>
      </w:r>
    </w:p>
    <w:p>
      <w:r>
        <w:t xml:space="preserve">Februar 1998 (Bd. III Bl. 46) und in der Hauptverhandlung (Protokollband II</w:t>
      </w:r>
    </w:p>
    <w:p>
      <w:r>
        <w:t xml:space="preserve">Bl. 99, 105) ersetzen diese nicht.</w:t>
      </w:r>
    </w:p>
    <w:p>
      <w:r>
        <w:t xml:space="preserve">IV. Soweit das Landgericht den Angeklagten der Untreue (II C 8 und 9;</w:t>
      </w:r>
    </w:p>
    <w:p>
      <w:r>
        <w:t xml:space="preserve">D 2 bis 10, E der Urteilsgründe) bzw. der Beihilfe dazu (II C 2 bis 4, 6 und 7 der</w:t>
      </w:r>
    </w:p>
    <w:p>
      <w:r>
        <w:t xml:space="preserve">Urteilsgründe) für schuldig befunden hat, weist dies nur hinsichtlich des ange-</w:t>
      </w:r>
    </w:p>
    <w:p>
      <w:r>
        <w:t xml:space="preserve">nommenen Konkurrenzverhältnisses einen Rechtsfehler auf.</w:t>
      </w:r>
    </w:p>
    <w:p>
      <w:r>
        <w:t xml:space="preserve">1. Die Verurteilung wegen Untreue in den Fällen II D 2 bis 8 hält im Er-</w:t>
      </w:r>
    </w:p>
    <w:p>
      <w:r>
        <w:t xml:space="preserve">gebnis rechtlicher Nachprüfung stand, auch wenn das Landgericht hierbei nicht</w:t>
      </w:r>
    </w:p>
    <w:p>
      <w:r>
        <w:t xml:space="preserve">bedacht hat, daß die EEG mangels Rechtspersönlichkeit nicht selbst Geschä-</w:t>
      </w:r>
    </w:p>
    <w:p>
      <w:r>
        <w:t xml:space="preserve">digte sein konnte.</w:t>
      </w:r>
    </w:p>
    <w:p>
      <w:r>
        <w:t xml:space="preserve">Geschädigter im Sinne von § 266 StGB kann nur ein mit dem Täter nicht</w:t>
      </w:r>
    </w:p>
    <w:p>
      <w:r>
        <w:t xml:space="preserve">identischer Träger fremden Vermögens sein, sei es eine natürliche, sei es eine</w:t>
      </w:r>
    </w:p>
    <w:p>
      <w:r>
        <w:t xml:space="preserve">juristische Person (BGH wistra 1984, 71; zur Untreue zum Nachteil einer GmbH</w:t>
      </w:r>
    </w:p>
    <w:p>
      <w:r>
        <w:t xml:space="preserve">vgl. Tiedemann in Scholz GmbHG 8. Aufl. vor §§ 82 ff. Rdn. 11 ff.). Vor der</w:t>
      </w:r>
    </w:p>
    <w:p>
      <w:r>
        <w:t xml:space="preserve">Eintragung in das Handelsregister besteht die GmbH als solche aber nicht</w:t>
      </w:r>
    </w:p>
    <w:p>
      <w:r>
        <w:t xml:space="preserve">(§ 11 Abs. 1 GmbHG); es kommt ihr noch keine eigene Rechtspersönlichkeit</w:t>
      </w:r>
    </w:p>
    <w:p>
      <w:r>
        <w:t xml:space="preserve">zu. Hieran ändert sich nichts dadurch, daß die Vorgesellschaft als weitgehend</w:t>
      </w:r>
    </w:p>
    <w:p>
      <w:r>
        <w:t xml:space="preserve">verselbständigte Vermögensmasse bereits am Wirtschaftsleben teilnehmen</w:t>
      </w:r>
    </w:p>
    <w:p>
      <w:r>
        <w:t xml:space="preserve">und durch Geschäfte, die ihr Geschäftsführer mit Ermächtigung der Gesell-</w:t>
      </w:r>
    </w:p>
    <w:p>
      <w:r>
        <w:t xml:space="preserve">schafter in ihrem Namen abschließt, verpflichtet werden kann (vgl. BGHZ 80,</w:t>
      </w:r>
    </w:p>
    <w:p>
      <w:r>
        <w:t xml:space="preserve">129, 139) und damit einer juristischen Person angenähert ist. Vor der Eintra-</w:t>
      </w:r>
    </w:p>
    <w:p>
      <w:r>
        <w:t xml:space="preserve">gung in das Handelsregister ist das "Gesellschaftsvermögen" rechtlich noch</w:t>
      </w:r>
    </w:p>
    <w:p>
      <w:r>
        <w:t xml:space="preserve">nicht der Gesellschaft zugeordnet, vielmehr besteht bei einer Mehrpersonen-</w:t>
      </w:r>
    </w:p>
    <w:p>
      <w:r>
        <w:t xml:space="preserve">gesellschaft Gesamthandsvermögen (BGHZ 80, 129, 135), bei einer Einmann-</w:t>
      </w:r>
    </w:p>
    <w:p>
      <w:r>
        <w:t xml:space="preserve">gesellschaft Sondervermögen (vgl. Baumbach/Hueck GmbHG 16. Aufl. § 11</w:t>
      </w:r>
    </w:p>
    <w:p>
      <w:r>
        <w:t xml:space="preserve">Rdn. 33 ff.). Die Schädigung dieses Gesamthands- oder Sondervermögens ist</w:t>
      </w:r>
    </w:p>
    <w:p>
      <w:r>
        <w:t xml:space="preserve">für § 266 StGB nur insoweit bedeutsam, als dadurch gleichzeitig das Vermögen</w:t>
      </w:r>
    </w:p>
    <w:p>
      <w:r>
        <w:t xml:space="preserve">der Gesellschafter bzw. des Alleingesellschafters berührt wird (vgl. BGH wistra</w:t>
      </w:r>
    </w:p>
    <w:p>
      <w:r>
        <w:t xml:space="preserve">1989, 264, 266; BGHR StGB § 266 Abs. 1 Nachteil 27). Das ist hier der Fall;</w:t>
      </w:r>
    </w:p>
    <w:p>
      <w:r>
        <w:t xml:space="preserve">denn durch die in der Zeit vom 26. Oktober 1994 bis zum 6. April 1995 erfolg-</w:t>
      </w:r>
    </w:p>
    <w:p>
      <w:r>
        <w:t xml:space="preserve">ten Abbuchungen schädigte der Angeklagte jeweils das Vermögen der Ge-</w:t>
      </w:r>
    </w:p>
    <w:p>
      <w:r>
        <w:t xml:space="preserve">meinde H. , die seinerzeit sämtliche Gesellschaftsanteile hielt.</w:t>
      </w:r>
    </w:p>
    <w:p>
      <w:r>
        <w:t xml:space="preserve">2. Der Schuldspruch bedarf jedoch der Änderung, weil die Annahme von</w:t>
      </w:r>
    </w:p>
    <w:p>
      <w:r>
        <w:t xml:space="preserve">Tatmehrheit in den Fällen II D 4 und 5, 7 und 8 sowie 9 und 10 der Urteilsgrün-</w:t>
      </w:r>
    </w:p>
    <w:p>
      <w:r>
        <w:t xml:space="preserve">de in den Feststellungen keine tragfähige Grundlage hat. Der Angeklagte hat</w:t>
      </w:r>
    </w:p>
    <w:p>
      <w:r>
        <w:t xml:space="preserve">hier jeweils am selben Tag zu Lasten der EEG die Abbuchung zweier Beträge</w:t>
      </w:r>
    </w:p>
    <w:p>
      <w:r>
        <w:t xml:space="preserve">an die RBBV veranlaßt, obschon - wie er wußte - ein Rechtsgrund hierfür nicht</w:t>
      </w:r>
    </w:p>
    <w:p>
      <w:r>
        <w:t xml:space="preserve">bestand. In den Fällen II D 4 und 5 bzw. 9 und 10 war zudem das Rechnungs-</w:t>
      </w:r>
    </w:p>
    <w:p>
      <w:r>
        <w:t xml:space="preserve">datum der jeweiligen Scheinrechnung identisch. Danach liegt hier nahe, daß</w:t>
      </w:r>
    </w:p>
    <w:p>
      <w:r>
        <w:t xml:space="preserve">die einzelnen Betätigungen des Angeklagten jeweils auf einer einzigen Willen-</w:t>
      </w:r>
    </w:p>
    <w:p>
      <w:r>
        <w:t xml:space="preserve">sentschließung beruhten und zwischen den Verhaltensweisen des Angeklagten</w:t>
      </w:r>
    </w:p>
    <w:p>
      <w:r>
        <w:t xml:space="preserve">der unmittelbare räumliche und zeitliche Zusammenhang bestand, der das ge-</w:t>
      </w:r>
    </w:p>
    <w:p>
      <w:r>
        <w:t xml:space="preserve">samte Handeln objektiv auch für einen Dritten als ein einheitliches zusammen-</w:t>
      </w:r>
    </w:p>
    <w:p>
      <w:r>
        <w:t xml:space="preserve">gehöriges Tun erscheinen läßt (vgl. BGHR StGB vor § 1 natürliche Handlungs-</w:t>
      </w:r>
    </w:p>
    <w:p>
      <w:r>
        <w:t xml:space="preserve">einheit Entschluß, einheitlicher 3, 4, 7 und 8). Der Senat schließt aus, daß in-</w:t>
      </w:r>
    </w:p>
    <w:p>
      <w:r>
        <w:t xml:space="preserve">soweit in der neuen Hautpverhandlung Feststellungen getroffen werden kön-</w:t>
      </w:r>
    </w:p>
    <w:p>
      <w:r>
        <w:t xml:space="preserve">nen, die der Annahme jeweils einer Tat im Rechtssinne entgegenstehen. Er</w:t>
      </w:r>
    </w:p>
    <w:p>
      <w:r>
        <w:t xml:space="preserve">ändert den Schuldspruch daher entsprechend § 354 Abs. 1 StPO ab. § 265</w:t>
      </w:r>
    </w:p>
    <w:p>
      <w:r>
        <w:t xml:space="preserve">StPO steht nicht entgegen, weil sich der Angeklagte insoweit nicht wirksamer</w:t>
      </w:r>
    </w:p>
    <w:p>
      <w:r>
        <w:t xml:space="preserve">als geschehen hätte verteidigen können.</w:t>
      </w:r>
    </w:p>
    <w:p>
      <w:r>
        <w:t xml:space="preserve">V. Die Aufhebung des Urteils in den Fällen II B 1 bis 3 hat den Wegfall</w:t>
      </w:r>
    </w:p>
    <w:p>
      <w:r>
        <w:t xml:space="preserve">der betreffenden Einzelstrafen zur Folge. Die die Fälle II D 4, 5, 7 bis 10 der</w:t>
      </w:r>
    </w:p>
    <w:p>
      <w:r>
        <w:t xml:space="preserve">Urteilsgründe betreffende Änderung des Schuldspruchs macht die Aufhebung</w:t>
      </w:r>
    </w:p>
    <w:p>
      <w:r>
        <w:t xml:space="preserve">der betreffenden Einzelstrafen erforderlich. Dies zieht die Aufhebung des Ge-</w:t>
      </w:r>
    </w:p>
    <w:p>
      <w:r>
        <w:t xml:space="preserve">samtstrafenausspruchs nach sich. Die weiteren Einzelstrafen werden von den</w:t>
      </w:r>
    </w:p>
    <w:p>
      <w:r>
        <w:t xml:space="preserve">aufgezeigten Rechtsfehlern nicht berührt und können deshalb bestehen blei-</w:t>
      </w:r>
    </w:p>
    <w:p>
      <w:r>
        <w:t xml:space="preserve">ben.</w:t>
      </w:r>
    </w:p>
    <w:p>
      <w:r>
        <w:t xml:space="preserve">Meyer-Goßner Maatz Kuckein</w:t>
      </w:r>
    </w:p>
    <w:p>
      <w:r>
        <w:t xml:space="preserve">(cid:20)(cid:22)(cid:21)(cid:24)(cid:23)(cid:26)(cid:25)(cid:28)(cid:27)(cid:14)(cid:29)</w:t>
      </w:r>
    </w:p>
    <w:p>
      <w:r>
        <w:t xml:space="preserve">(cid:30) (cid:31)"!#(cid:25)(cid:28)(cid:27)(cid:14)$%(cid:30)&amp;(cid:21)(cid:8)(cid:31)(’(cid:12))*(cid:27)(cid:14)(cid:31)(cid:2)+(cid:17)(cid:25)(cid:19),</w:t>
      </w:r>
    </w:p>
    <w:p>
      <w:r>
        <w:rPr>
          <w:color w:val="555555"/>
          <w:sz w:val="17"/>
        </w:rPr>
        <w:t xml:space="preserve">Zitiervorschlag: BGH, Beschluß vom 20.01.2000 – 4 StR 342/99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https://recht.nulegal.eu/rechtsprechung/bgh/2000-01-20/4-str-342-99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