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Beschluss vom 14.01.2000 – StB 16/99</w:t>
      </w:r>
    </w:p>
    <w:p>
      <w:r>
        <w:rPr>
          <w:color w:val="555555"/>
          <w:sz w:val="18"/>
        </w:rPr>
        <w:t xml:space="preserve">3. Strafsenat</w:t>
      </w:r>
    </w:p>
    <w:p>
      <w:r>
        <w:t xml:space="preserve">BUNDESGERICHTSHOF</w:t>
      </w:r>
    </w:p>
    <w:p>
      <w:r>
        <w:t xml:space="preserve">3 BJs 47/99 - 4 (22) StB 16/99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14. Januar 2000</w:t>
      </w:r>
    </w:p>
    <w:p>
      <w:r>
        <w:t xml:space="preserve">in dem Ermittlungsverfahren</w:t>
      </w:r>
    </w:p>
    <w:p>
      <w:r>
        <w:t xml:space="preserve">gegen</w:t>
      </w:r>
    </w:p>
    <w:p>
      <w:r>
        <w:t xml:space="preserve">wegen Verdachts des versuchten Mordes u.a.;</w:t>
      </w:r>
    </w:p>
    <w:p>
      <w:r>
        <w:t xml:space="preserve">hier: Beschwerde des Beschuldigten E.</w:t>
      </w:r>
    </w:p>
    <w:p>
      <w:r>
        <w:t xml:space="preserve">Der 3. Strafsenat des Bundesgerichtshofs hat nach Anhörung des Generalbun-</w:t>
      </w:r>
    </w:p>
    <w:p>
      <w:r>
        <w:t xml:space="preserve">desanwalts und des Beschwerdeführers am 14. Januar 2000 gemäß § 304</w:t>
      </w:r>
    </w:p>
    <w:p>
      <w:r>
        <w:t xml:space="preserve">Abs. 5 StPO beschlossen:</w:t>
      </w:r>
    </w:p>
    <w:p>
      <w:r>
        <w:t xml:space="preserve">Die Beschwerde des Beschuldigten gegen den Beschluß des Er-</w:t>
      </w:r>
    </w:p>
    <w:p>
      <w:r>
        <w:t xml:space="preserve">mittlungsrichters des Bundesgerichtshofs vom 1. Dezember 1999</w:t>
      </w:r>
    </w:p>
    <w:p>
      <w:r>
        <w:t xml:space="preserve">- 1 BGs 268/99 - wird verworfen.</w:t>
      </w:r>
    </w:p>
    <w:p>
      <w:r>
        <w:t xml:space="preserve">Der Beschwerdeführer hat die Kosten seines Rechtsmittels zu</w:t>
      </w:r>
    </w:p>
    <w:p>
      <w:r>
        <w:t xml:space="preserve">tragen.</w:t>
      </w:r>
    </w:p>
    <w:p>
      <w:pPr>
        <w:pStyle w:val="Heading2"/>
      </w:pPr>
      <w:r>
        <w:t xml:space="preserve">Gründe</w:t>
      </w:r>
    </w:p>
    <w:p>
      <w:r>
        <w:t xml:space="preserve">Das Landgericht Neubrandenburg hat am 26. August 1999 - III Qs</w:t>
      </w:r>
    </w:p>
    <w:p>
      <w:r>
        <w:t xml:space="preserve">78/99 - gegen den Beschwerdeführer Haftbefehl wegen versuchten Mordes in</w:t>
      </w:r>
    </w:p>
    <w:p>
      <w:r>
        <w:t xml:space="preserve">Tateinheit mit gefährlicher Körperverletzung (§§ 211, 223, 224 Abs. 1 Nr. 2 und</w:t>
      </w:r>
    </w:p>
    <w:p>
      <w:r>
        <w:t xml:space="preserve">4, 22, 23, 25 Abs. 2, 52 StGB) erlassen und die Untersuchungshaft angeord-</w:t>
      </w:r>
    </w:p>
    <w:p>
      <w:r>
        <w:t xml:space="preserve">net. Ihm wird vorgeworfen, am 22. August 1999 gegen 4.00 Uhr in Eg. in</w:t>
      </w:r>
    </w:p>
    <w:p>
      <w:r>
        <w:t xml:space="preserve">der Nähe des Festplatzes gemeinschaftlich mit anderen durch eine Handlung</w:t>
      </w:r>
    </w:p>
    <w:p>
      <w:r>
        <w:t xml:space="preserve">versucht zu haben, aus dem niederen Beweggrund ”Ausländerhaß” die vietna-</w:t>
      </w:r>
    </w:p>
    <w:p>
      <w:r>
        <w:t xml:space="preserve">mesischen Staatsangehörigen N. und V. T. zu töten, und die-</w:t>
      </w:r>
    </w:p>
    <w:p>
      <w:r>
        <w:t xml:space="preserve">se vorsätzlich körperlich mißhandelt und an der Gesundheit beschädigt zu ha-</w:t>
      </w:r>
    </w:p>
    <w:p>
      <w:r>
        <w:t xml:space="preserve">ben, wobei die Körperverletzungen mittels gefährlicher Werkzeuge und mittels</w:t>
      </w:r>
    </w:p>
    <w:p>
      <w:r>
        <w:t xml:space="preserve">einer das Leben gefährdenden Behandlung begangen worden sein sollen.</w:t>
      </w:r>
    </w:p>
    <w:p>
      <w:r>
        <w:t xml:space="preserve">Nach einer mündlichen Haftprüfung hat der Ermittlungsrichter des Bun-</w:t>
      </w:r>
    </w:p>
    <w:p>
      <w:r>
        <w:t xml:space="preserve">desgerichtshofs mit Beschluß vom 1. Dezember 1999 - 1 BGs 268/99 - ange-</w:t>
      </w:r>
    </w:p>
    <w:p>
      <w:r>
        <w:t xml:space="preserve">ordnet, daß der Haftbefehl des Landgerichts Neubrandenburg vom 26. August</w:t>
      </w:r>
    </w:p>
    <w:p>
      <w:r>
        <w:t xml:space="preserve">1999 aufrechterhalten bleibt und weiterhin zu vollziehen ist. Gegen diese Ent-</w:t>
      </w:r>
    </w:p>
    <w:p>
      <w:r>
        <w:t xml:space="preserve">scheidung richtet sich die Beschwerde des Beschuldigten, mit der er die Auf-</w:t>
      </w:r>
    </w:p>
    <w:p>
      <w:r>
        <w:t xml:space="preserve">hebung des Haftbefehls, hilfsweise die Aussetzung des Vollzugs erstrebt.</w:t>
      </w:r>
    </w:p>
    <w:p>
      <w:r>
        <w:t xml:space="preserve">Das nach § 304 Abs. 5 StPO zulässige Rechtsmittel ist unbegründet. Zu</w:t>
      </w:r>
    </w:p>
    <w:p>
      <w:r>
        <w:t xml:space="preserve">Recht hat der Ermittlungsrichter des Bundesgerichtshofs den Haftbefehl des</w:t>
      </w:r>
    </w:p>
    <w:p>
      <w:r>
        <w:t xml:space="preserve">Landgerichts Neubrandenburg vom 26. August 1999 aufrechterhalten und des-</w:t>
      </w:r>
    </w:p>
    <w:p>
      <w:r>
        <w:t xml:space="preserve">sen weiteren Vollzug angeordnet.</w:t>
      </w:r>
    </w:p>
    <w:p>
      <w:r>
        <w:t xml:space="preserve">1. Die Strafgerichtsbarkeit des Bundes und damit die Zuständigkeit des</w:t>
      </w:r>
    </w:p>
    <w:p>
      <w:r>
        <w:t xml:space="preserve">Ermittlungsrichters des Bundesgerichtshofes für die Haftprüfung ergibt sich aus</w:t>
      </w:r>
    </w:p>
    <w:p>
      <w:r>
        <w:t xml:space="preserve">§ 169 Abs. 1 StPO, § 120 Abs. 2 Satz 1 Nr. 3 Buchst. a), § 142 a Abs. 1 GVG.</w:t>
      </w:r>
    </w:p>
    <w:p>
      <w:r>
        <w:t xml:space="preserve">Durchgreifende verfassungsrechtliche Bedenken gegen die Regelung des</w:t>
      </w:r>
    </w:p>
    <w:p>
      <w:r>
        <w:t xml:space="preserve">§ 120 Abs. 2 Satz 1 Nr. 3 Buchst. a) GVG bestehen nicht (so auch die Mehr-</w:t>
      </w:r>
    </w:p>
    <w:p>
      <w:r>
        <w:t xml:space="preserve">heitsmeinung des Rechtsausschusses des Deutschen Bundestags, BT-Drucks.</w:t>
      </w:r>
    </w:p>
    <w:p>
      <w:r>
        <w:t xml:space="preserve">10/6635, S. 15; vgl. Hannich in KK 4. Aufl. § 120 GVG Rdn. 3; Schnarr MDR</w:t>
      </w:r>
    </w:p>
    <w:p>
      <w:r>
        <w:t xml:space="preserve">1988, 89 ff. und 1993, 589 ff.; vgl. auch Eisenberg NStZ 1996, 263 ff.). Das</w:t>
      </w:r>
    </w:p>
    <w:p>
      <w:r>
        <w:t xml:space="preserve">dem Beschwerdeführer und seinen Mittätern zur Last liegende Verbrechen des</w:t>
      </w:r>
    </w:p>
    <w:p>
      <w:r>
        <w:t xml:space="preserve">versuchten Mordes ist eine in dieser Vorschrift genannte Katalogtat. Zwar ist</w:t>
      </w:r>
    </w:p>
    <w:p>
      <w:r>
        <w:t xml:space="preserve">ein versuchter Mord gewöhnlich der allgemeinen Kriminalität zuzuordnen, so</w:t>
      </w:r>
    </w:p>
    <w:p>
      <w:r>
        <w:t xml:space="preserve">daß für dieses Delikt grundsätzlich die rechtsprechende Gewalt von den Ge-</w:t>
      </w:r>
    </w:p>
    <w:p>
      <w:r>
        <w:t xml:space="preserve">richten der Bundesländer (Art. 92 GG) ausgeübt wird. Da aber die Tat vom</w:t>
      </w:r>
    </w:p>
    <w:p>
      <w:r>
        <w:t xml:space="preserve">22. August 1999 "nach den Umständen bestimmt" und geeignet ist, die innere</w:t>
      </w:r>
    </w:p>
    <w:p>
      <w:r>
        <w:t xml:space="preserve">Sicherheit der Bundesrepublik Deutschland zu beeinträchtigen, und der Gene-</w:t>
      </w:r>
    </w:p>
    <w:p>
      <w:r>
        <w:t xml:space="preserve">ralbundesanwalt den unbestimmten Rechtsbegriff (vgl. hierzu Eisenberg NStZ</w:t>
      </w:r>
    </w:p>
    <w:p>
      <w:r>
        <w:t xml:space="preserve">1996, 263, 264 f. m.w.Nachw.) der besonderen Bedeutung des Falles in noch</w:t>
      </w:r>
    </w:p>
    <w:p>
      <w:r>
        <w:t xml:space="preserve">vertretbarer Weise bejaht hat, handelt es sich im Hinblick auf die Wiederho-</w:t>
      </w:r>
    </w:p>
    <w:p>
      <w:r>
        <w:t xml:space="preserve">lungsgefahr durch Gleichgesinnte und die im In- und Ausland hervorgerufene</w:t>
      </w:r>
    </w:p>
    <w:p>
      <w:r>
        <w:t xml:space="preserve">besondere Beachtung um eine Straftat aus dem Bereich des Staatsschutzes,</w:t>
      </w:r>
    </w:p>
    <w:p>
      <w:r>
        <w:t xml:space="preserve">für den nach Art. 96 Abs. 5 GG, § 120 Abs. 2 und 6 GVG, § 102 JGG die Straf-</w:t>
      </w:r>
    </w:p>
    <w:p>
      <w:r>
        <w:t xml:space="preserve">gerichtsbarkeit des Bundes gegeben ist. Diese schließt sich an die mit men-</w:t>
      </w:r>
    </w:p>
    <w:p>
      <w:r>
        <w:t xml:space="preserve">schenverachtender Brutalität durchgeführten Gewalttaten an, die aus rechtsex-</w:t>
      </w:r>
    </w:p>
    <w:p>
      <w:r>
        <w:t xml:space="preserve">tremistischer Gesinnung seit 1990 immer wieder gegen ausländische Mitbürger</w:t>
      </w:r>
    </w:p>
    <w:p>
      <w:r>
        <w:t xml:space="preserve">begangen wurden. Durch die sich wiederholenden Straftaten mit schwerwie-</w:t>
      </w:r>
    </w:p>
    <w:p>
      <w:r>
        <w:t xml:space="preserve">genden Folgen für die Opfer, die lediglich als Repräsentanten der von den</w:t>
      </w:r>
    </w:p>
    <w:p>
      <w:r>
        <w:t xml:space="preserve">Tätern gehaßten Gruppe der Ausländer angegriffen werden, wird zum einen</w:t>
      </w:r>
    </w:p>
    <w:p>
      <w:r>
        <w:t xml:space="preserve">das friedliche Zusammenleben von Deutschen und Ausländern empfindlich</w:t>
      </w:r>
    </w:p>
    <w:p>
      <w:r>
        <w:t xml:space="preserve">gestört; zum anderen wird auch in der Öffentlichkeit, insbesondere unter den in</w:t>
      </w:r>
    </w:p>
    <w:p>
      <w:r>
        <w:t xml:space="preserve">der Bundesrepublik Deutschland lebenden Ausländern, ein allgemeines Klima</w:t>
      </w:r>
    </w:p>
    <w:p>
      <w:r>
        <w:t xml:space="preserve">der Angst und Einschüchterung hervorgerufen, in dem die innere Sicherheit</w:t>
      </w:r>
    </w:p>
    <w:p>
      <w:r>
        <w:t xml:space="preserve">beeinträchtigende Zweifel aufkommen, ob die Sicherheitsorgane in ausrei-</w:t>
      </w:r>
    </w:p>
    <w:p>
      <w:r>
        <w:t xml:space="preserve">chendem Maße fähig und entschlossen sind, die ausländischen Mitbürger zu</w:t>
      </w:r>
    </w:p>
    <w:p>
      <w:r>
        <w:t xml:space="preserve">schützen. Außerdem lösen sie bei Personen mit einer rechtsextremen Gesin-</w:t>
      </w:r>
    </w:p>
    <w:p>
      <w:r>
        <w:t xml:space="preserve">nung einen Nachahmungseffekt aus mit der Folge einer immer schwerer be-</w:t>
      </w:r>
    </w:p>
    <w:p>
      <w:r>
        <w:t xml:space="preserve">herrschbaren Gefahr. Die Verbindung des Beschwerdeführers und seiner Mit-</w:t>
      </w:r>
    </w:p>
    <w:p>
      <w:r>
        <w:t xml:space="preserve">täter zu den örtlichen rechtsextremistischen Gruppen und die Begleitumstände</w:t>
      </w:r>
    </w:p>
    <w:p>
      <w:r>
        <w:t xml:space="preserve">der ihnen vorgeworfenen Tat stellen ausreichende Anhaltspunkte dafür dar,</w:t>
      </w:r>
    </w:p>
    <w:p>
      <w:r>
        <w:t xml:space="preserve">daß den Tätern diese sich ihnen aufdrängenden Auswirkungen ihrer Straftat</w:t>
      </w:r>
    </w:p>
    <w:p>
      <w:r>
        <w:t xml:space="preserve">nicht nur bewußt waren, sondern von ihnen auch gewollt worden sind.</w:t>
      </w:r>
    </w:p>
    <w:p>
      <w:r>
        <w:t xml:space="preserve">2. Der Beschwerdeführer ist bei dem derzeitigen Stand der Ermittlungen</w:t>
      </w:r>
    </w:p>
    <w:p>
      <w:r>
        <w:t xml:space="preserve">der mittäterschaftlichen Beteiligung an dem rechtlich zutreffend als versuchter</w:t>
      </w:r>
    </w:p>
    <w:p>
      <w:r>
        <w:t xml:space="preserve">Mord in Tateinheit mit gefährlicher Körperverletzung gewerteten Angriff vom</w:t>
      </w:r>
    </w:p>
    <w:p>
      <w:r>
        <w:t xml:space="preserve">22. August 1999 auf die vietnamesischen Staatsangehörigen dringend ver-</w:t>
      </w:r>
    </w:p>
    <w:p>
      <w:r>
        <w:t xml:space="preserve">dächtig. Er hat selbst eingeräumt, gegen eines der Tatopfer zwei Faustschläge</w:t>
      </w:r>
    </w:p>
    <w:p>
      <w:r>
        <w:t xml:space="preserve">geführt zu haben. Im übrigen ergibt sich der dringende Tatverdacht insbeson-</w:t>
      </w:r>
    </w:p>
    <w:p>
      <w:r>
        <w:t xml:space="preserve">dere aus den Einlassungen der Mitbeschuldigten L. und</w:t>
      </w:r>
    </w:p>
    <w:p>
      <w:r>
        <w:t xml:space="preserve">K. sowie des anderweitig verfolgten S. , die durch die Aussagen</w:t>
      </w:r>
    </w:p>
    <w:p>
      <w:r>
        <w:t xml:space="preserve">der unbeteiligten Zeugin M. und des Geschädigten N.</w:t>
      </w:r>
    </w:p>
    <w:p>
      <w:r>
        <w:t xml:space="preserve">in wesentlichen Punkten bestätigt werden. Auch der anderweitig verfolgte</w:t>
      </w:r>
    </w:p>
    <w:p>
      <w:r>
        <w:t xml:space="preserve">R. hat den Beschwerdeführer in seinen ersten, tatnahen Ver-</w:t>
      </w:r>
    </w:p>
    <w:p>
      <w:r>
        <w:t xml:space="preserve">nehmungen schwer belastet. Entgegen seiner Einlassung soll der Beschwer-</w:t>
      </w:r>
    </w:p>
    <w:p>
      <w:r>
        <w:t xml:space="preserve">deführer von Beginn der Mißhandlungen an bis zu deren Ende selbst auf die</w:t>
      </w:r>
    </w:p>
    <w:p>
      <w:r>
        <w:t xml:space="preserve">Vietnamesen mit den Füßen eingetreten haben. Die entlastende Aussage des</w:t>
      </w:r>
    </w:p>
    <w:p>
      <w:r>
        <w:t xml:space="preserve">Mitbeschuldigten Sch. steht in Widerspruch zu dem übrigen bisheri-</w:t>
      </w:r>
    </w:p>
    <w:p>
      <w:r>
        <w:t xml:space="preserve">gen Beweisergebnis, so daß der Verdacht besteht, der Beschwerdeführer und</w:t>
      </w:r>
    </w:p>
    <w:p>
      <w:r>
        <w:t xml:space="preserve">Sch. haben während der gemeinsamen Untersuchungshaft verein-</w:t>
      </w:r>
    </w:p>
    <w:p>
      <w:r>
        <w:t xml:space="preserve">bart, sich gegenseitig zu entlasten.</w:t>
      </w:r>
    </w:p>
    <w:p>
      <w:r>
        <w:t xml:space="preserve">Nach dem derzeitigen Erkenntnisstand haben der Beschwerdeführer und</w:t>
      </w:r>
    </w:p>
    <w:p>
      <w:r>
        <w:t xml:space="preserve">seine Mittätern aus ”Ausländerhaß” die vietnamesischen Staatsangehörigen</w:t>
      </w:r>
    </w:p>
    <w:p>
      <w:r>
        <w:t xml:space="preserve">verfolgt, sie zu Fall gebracht, um die am Boden liegenden Opfer einen Kreis</w:t>
      </w:r>
    </w:p>
    <w:p>
      <w:r>
        <w:t xml:space="preserve">zur Verhinderung ihrer Flucht gebildet und wuchtig mit den Fäusten sowie mit</w:t>
      </w:r>
    </w:p>
    <w:p>
      <w:r>
        <w:t xml:space="preserve">- teilweise schweren, festen - Schuhen auf Kopf, Bauch und Rücken der Ge-</w:t>
      </w:r>
    </w:p>
    <w:p>
      <w:r>
        <w:t xml:space="preserve">schädigten eingetreten, was zu gravierenden Verletzungen geführt hat, und</w:t>
      </w:r>
    </w:p>
    <w:p>
      <w:r>
        <w:t xml:space="preserve">dabei Parolen wie ”Ausländer verrecke” und ”Ausländersau” geschrien. Ein Teil</w:t>
      </w:r>
    </w:p>
    <w:p>
      <w:r>
        <w:t xml:space="preserve">der Mittäter trug schweres Schuhwerk, was dem Beschwerdeführer bekannt</w:t>
      </w:r>
    </w:p>
    <w:p>
      <w:r>
        <w:t xml:space="preserve">war. Obwohl er die mit großer Brutalität gegen Kopf, Bauch und Rücken der</w:t>
      </w:r>
    </w:p>
    <w:p>
      <w:r>
        <w:t xml:space="preserve">Opfer geführten Tritte wahrnahm, hat er sich weiterhin an der Tat beteiligt und</w:t>
      </w:r>
    </w:p>
    <w:p>
      <w:r>
        <w:t xml:space="preserve">sich vom Verhalten seiner Mittäter nicht distanziert. Es besteht daher der drin-</w:t>
      </w:r>
    </w:p>
    <w:p>
      <w:r>
        <w:t xml:space="preserve">gende Verdacht, daß er mit den gemeinsam ausgeführten Schlägen und Tritten</w:t>
      </w:r>
    </w:p>
    <w:p>
      <w:r>
        <w:t xml:space="preserve">im Bewußtsein von deren Lebensgefährlichkeit einverstanden war und den für</w:t>
      </w:r>
    </w:p>
    <w:p>
      <w:r>
        <w:t xml:space="preserve">möglich gehaltenen Tod der vietnamesischen Staatsbürger in Kauf genommen</w:t>
      </w:r>
    </w:p>
    <w:p>
      <w:r>
        <w:t xml:space="preserve">hat. Eine Tötung aus ”Ausländerhaß” ist als niederer Beweggrund im Sinne des</w:t>
      </w:r>
    </w:p>
    <w:p>
      <w:r>
        <w:t xml:space="preserve">§ 211 StGB zu werten. Der Beschwerdeführer muß sich im Rahmen des ge-</w:t>
      </w:r>
    </w:p>
    <w:p>
      <w:r>
        <w:t xml:space="preserve">meinsamen Tatentschlusses auch die Tatbeiträge seiner Mittäter zurechnen</w:t>
      </w:r>
    </w:p>
    <w:p>
      <w:r>
        <w:t xml:space="preserve">lassen (§ 25 Abs. 2 StGB). Ob ein ihm nicht zurechenbarer Exzeß einzelner</w:t>
      </w:r>
    </w:p>
    <w:p>
      <w:r>
        <w:t xml:space="preserve">Mittäter vorliegt, für den derzeit keine ausreichenden Anhaltspunkte vorhanden</w:t>
      </w:r>
    </w:p>
    <w:p>
      <w:r>
        <w:t xml:space="preserve">sind, muß dem Ergebnis der Beweisaufnahme in der Hauptverhandlung vorbe-</w:t>
      </w:r>
    </w:p>
    <w:p>
      <w:r>
        <w:t xml:space="preserve">halten bleiben.</w:t>
      </w:r>
    </w:p>
    <w:p>
      <w:r>
        <w:t xml:space="preserve">3. Es bestehen die Haftgründe der Verdunkelungs- und Fluchtgefahr</w:t>
      </w:r>
    </w:p>
    <w:p>
      <w:r>
        <w:t xml:space="preserve">(§ 112 Abs. 2 Nr. 2 und 3 StPO) sowie der Haftgrund des § 112 Abs. 3 StPO.</w:t>
      </w:r>
    </w:p>
    <w:p>
      <w:r>
        <w:t xml:space="preserve">Der Beschwerdeführer muß mit einer erheblichen Jugendstrafe rechnen, was</w:t>
      </w:r>
    </w:p>
    <w:p>
      <w:r>
        <w:t xml:space="preserve">für ihn einen beträchtlichen Fluchtanreiz darstellt. Trotz der inzwischen abge-</w:t>
      </w:r>
    </w:p>
    <w:p>
      <w:r>
        <w:t xml:space="preserve">schlossenen Ermittlungen besteht vor allem die große Gefahr, daß er mit den</w:t>
      </w:r>
    </w:p>
    <w:p>
      <w:r>
        <w:t xml:space="preserve">anderen Tatbeteiligten verdunkelnde Absprachen trifft oder in unlauterer Weise</w:t>
      </w:r>
    </w:p>
    <w:p>
      <w:r>
        <w:t xml:space="preserve">auf andere Personen aus dem rechtsextremen Umfeld einzuwirken versucht,</w:t>
      </w:r>
    </w:p>
    <w:p>
      <w:r>
        <w:t xml:space="preserve">um diese zu einer für ihn günstigen Zeugenaussage zu veranlassen. Bereits</w:t>
      </w:r>
    </w:p>
    <w:p>
      <w:r>
        <w:t xml:space="preserve">unmittelbar nach der Tat hat der Beschwerdeführer verdunkelnde Absprachen</w:t>
      </w:r>
    </w:p>
    <w:p>
      <w:r>
        <w:t xml:space="preserve">mit Mitbeschuldigten getroffen. Insoweit wird auf den Beschluß des OLG</w:t>
      </w:r>
    </w:p>
    <w:p>
      <w:r>
        <w:t xml:space="preserve">Rostock vom 17. September 1999 verwiesen.</w:t>
      </w:r>
    </w:p>
    <w:p>
      <w:r>
        <w:t xml:space="preserve">Der Zweck der Untersuchungshaft kann durch vorläufige Erziehungsan-</w:t>
      </w:r>
    </w:p>
    <w:p>
      <w:r>
        <w:t xml:space="preserve">ordnungen, insbesondere durch eine einstweilige Unterbringung des Be-</w:t>
      </w:r>
    </w:p>
    <w:p>
      <w:r>
        <w:t xml:space="preserve">schwerdeführers in einem Heim nicht erreicht werden (§ 72 JGG). Durch solche</w:t>
      </w:r>
    </w:p>
    <w:p>
      <w:r>
        <w:t xml:space="preserve">Maßnahmen kann vor allem der erheblichen Verdunkelungsgefahr nicht aus-</w:t>
      </w:r>
    </w:p>
    <w:p>
      <w:r>
        <w:t xml:space="preserve">reichend entgegengewirkt werden, weil Einrichtungen der Sozialfürsorge die zu</w:t>
      </w:r>
    </w:p>
    <w:p>
      <w:r>
        <w:t xml:space="preserve">befürchtenden Kontaktaufnahmen mit anderen Tatbeteiligten oder Zeugen</w:t>
      </w:r>
    </w:p>
    <w:p>
      <w:r>
        <w:t xml:space="preserve">nicht effektiv verhindern können. Da zur Verhinderung der Verdunkelungsge-</w:t>
      </w:r>
    </w:p>
    <w:p>
      <w:r>
        <w:t xml:space="preserve">fahr geeignete Auflagen nicht erkennbar sind, kann der Haftbefehl auch nicht</w:t>
      </w:r>
    </w:p>
    <w:p>
      <w:r>
        <w:t xml:space="preserve">außer Vollzug gesetzt werden. Angesichts der Schwere der dem Beschwerde-</w:t>
      </w:r>
    </w:p>
    <w:p>
      <w:r>
        <w:t xml:space="preserve">führer zur Last liegenden Straftaten und den gegebenen Umständen ist auch</w:t>
      </w:r>
    </w:p>
    <w:p>
      <w:r>
        <w:t xml:space="preserve">unter Berücksichtigung der besonderen Belastungen für einen Jugendlichen</w:t>
      </w:r>
    </w:p>
    <w:p>
      <w:r>
        <w:t xml:space="preserve">der weitere Vollzug des Haftbefehls nicht unverhältnismäßig.</w:t>
      </w:r>
    </w:p>
    <w:p>
      <w:r>
        <w:t xml:space="preserve">Kutzer Rissing-van Saan von Lienen</w:t>
      </w:r>
    </w:p>
    <w:p>
      <w:r>
        <w:rPr>
          <w:color w:val="555555"/>
          <w:sz w:val="17"/>
        </w:rPr>
        <w:t xml:space="preserve">Zitiervorschlag: BGH, Beschluss vom 14.01.2000 – StB 16/99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https://recht.nulegal.eu/rechtsprechung/bgh/2000-01-14/stb-16-99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