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21.06.1982 – 3 StR 177/82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StR 177/82 BESCHLUSS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den Kaufmann Andreas HWB aus EB, dort geboren am . EEE 1957,</w:t>
      </w:r>
    </w:p>
    <w:p>
      <w:r>
        <w:t xml:space="preserve">wegen versuchten gemeinschaftlichen Betruges u.a.</w:t>
      </w:r>
    </w:p>
    <w:p>
      <w:r>
        <w:t xml:space="preserve">Der 3. Strafsenat des Bundesgerichtshofs hat auf Antrag des Generalbundesanwalts und nach Anhörung des Beschwerdeführers am 21. Juni 1982 gemäß § 349 Abs. 2 und 4 StPO einstimmig beschlossen:</w:t>
      </w:r>
    </w:p>
    <w:p>
      <w:r>
        <w:t xml:space="preserve">1. Auf die Revision des Angeklagten wird das Urteil des Landgerichts Duisburg vom 15. Dezember 1981, soweit es ihn betrifft, im Strafausspruch mit den Feststellungen aufgehoben.</w:t>
      </w:r>
    </w:p>
    <w:p>
      <w:r>
        <w:t xml:space="preserve">Im Umfang der Aufhebung wird die Sache zu neuer Verhandlung und Entscheidung, auch über die Kosten des Rechtsmittels, an eine andere Strafkammer des Landgerichts zurückverwiesen.</w:t>
      </w:r>
    </w:p>
    <w:p>
      <w:r>
        <w:t xml:space="preserve">2. Die weitergehende Revision wird verworfen.</w:t>
      </w:r>
    </w:p>
    <w:p>
      <w:pPr>
        <w:pStyle w:val="Heading2"/>
      </w:pPr>
      <w:r>
        <w:t xml:space="preserve">Gründe</w:t>
      </w:r>
    </w:p>
    <w:p>
      <w:r>
        <w:t xml:space="preserve">Soweit die Revision sich mit der Sachbeschwerde gegen den Schuldspruch wendet, ist sie im Sinne des § 349 Abs. 2 StPO unbegründet. Zum Strafausspruch hat sie Erfolg. Hierzu hat der Generalbundesanwalt in seiner Antragsschrift zutreffend ausgeführt:</w:t>
      </w:r>
    </w:p>
    <w:p>
      <w:r>
        <w:t xml:space="preserve">"Der Strafausspruch kann hingegen keinen Bestand haben. Das Landgericht hat straferschwerend berücksichtigt, *'daß der Angeklagte als Heranwachsender wegen Vermögensdelikten 5 Tage Jugendarrest verbüßt hat' (UA S. 17).</w:t>
      </w:r>
    </w:p>
    <w:p>
      <w:r>
        <w:t xml:space="preserve">Damit ist ersichtlich die Verurteilung des Angeklagten durch das Amtsgericht Essen vom 23. August 1978 gemeint (vgl. UA S. 6). Diese Verurteilung durfte jedoch nicht</w:t>
      </w:r>
    </w:p>
    <w:p>
      <w:r>
        <w:t xml:space="preserve">zu Lasten des Angeklagten berücksichtigt werden. Sie ist gemäß § 56 Abs. 1 Nr. 2 BZRG in das Erziehungsregister eingetragen worden (Auskunft des Bundeszentralregisters vom</w:t>
      </w:r>
    </w:p>
    <w:p>
      <w:r>
        <w:t xml:space="preserve">23. Juli 1981 Hülle vor Bd. II dA., Nr. 4). § 58 Abs. 1</w:t>
      </w:r>
    </w:p>
    <w:p>
      <w:r>
        <w:t xml:space="preserve">und 2 BZRG bestimmt, daß Eintragungen im Erziehungsregister zu entfernen sind, sobald der Betroffene das 24. Lebensjahr vollendet hat und keine Verurteilung zu Freiheitsstrafe, Strafarrest oder Jugendstrafe oder eine frei- vw heitsentziehende Maßregel der Besserung oder Sicherung eingetragen ist. Der Angeklagte war schon am 17. September 1981, also vor Erlaß des Urteils (15. Dezember 1981),</w:t>
      </w:r>
    </w:p>
    <w:p>
      <w:r>
        <w:t xml:space="preserve">24 Jahre alt geworden. Das Zentralregister enthält für</w:t>
      </w:r>
    </w:p>
    <w:p>
      <w:r>
        <w:t xml:space="preserve">den Angeklagten keine der in § 58 Abs. 2 BZRG bezeichneten Eintragungen. Somit waren die Eintragungen im Erziehungsregister gemäß § 58 Abs. 1 BZRG am 17. September 1981 zu entfernen. Gemäß § 49 Abs. 1 BZRG i.V.m. §§ 55</w:t>
      </w:r>
    </w:p>
    <w:p>
      <w:r>
        <w:t xml:space="preserve">Satz 2, 58 Abs. 4 BZRG durfte daher das Landgericht bei der Strafzumessung die fragliche Verurteilung zu 5 Tagen Jugendarrest nicht zum Nachteil des Angeklagten verwerten</w:t>
      </w:r>
    </w:p>
    <w:p>
      <w:r>
        <w:t xml:space="preserve">(BGH, Urteil vom 29. Mai 1974 - 3 StR 101/74). Das Urteil unterliegt danach im Strafausspruch - soweit es den Angeklagten Heß betrifft - der Aufhebung."</w:t>
      </w:r>
    </w:p>
    <w:p>
      <w:r>
        <w:t xml:space="preserve">Schmidt Dr. Schauenburg Dr. Krauth Dr. Gribbohm Zschockelt</w:t>
      </w:r>
    </w:p>
    <w:p>
      <w:r>
        <w:rPr>
          <w:color w:val="555555"/>
          <w:sz w:val="17"/>
        </w:rPr>
        <w:t xml:space="preserve">Zitiervorschlag: BGH, Beschluss vom 21.06.1982 – 3 StR 177/82</w:t>
      </w:r>
    </w:p>
    <w:p>
      <w:r>
        <w:rPr>
          <w:color w:val="555555"/>
          <w:sz w:val="17"/>
        </w:rPr>
        <w:t xml:space="preserve">Quelle: Bundesgerichtshof, abgerufen 21.08.2026</w:t>
      </w:r>
    </w:p>
    <w:p>
      <w:r>
        <w:rPr>
          <w:color w:val="555555"/>
          <w:sz w:val="17"/>
        </w:rPr>
        <w:t xml:space="preserve">Amtliche Entscheidung des Bundesgerichtshofs (§ 5 UrhG). Bereitgestellt über den Datensatz »Entscheidungen des Bundesgerichtshofs in Strafsachen aus dem 20. Jahrhundert« von Seán Fobbe und Tilko Swalve, https://doi.org/10.5281/zenodo.4540377, veröffentlicht unter Creative Commons Zero (CC0 1.0). Der Text wurde per Texterkennung (OCR) aus Scans des Gerichts gewonnen; die Erkennungsqualität schwankt.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https://recht.nulegal.eu/rechtsprechung/bgh/1982-06-21/3-str-177-82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