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BFH, Beschluss vom 30.05.2012 – IX B 54/12</w:t>
      </w:r>
    </w:p>
    <w:p>
      <w:r>
        <w:rPr>
          <w:color w:val="555555"/>
          <w:sz w:val="18"/>
        </w:rPr>
        <w:t xml:space="preserve">9. Senat</w:t>
      </w:r>
    </w:p>
    <w:p>
      <w:pPr>
        <w:pStyle w:val="Heading2"/>
      </w:pPr>
      <w:r>
        <w:t xml:space="preserve">Leitsatz</w:t>
      </w:r>
    </w:p>
    <w:p>
      <w:r>
        <w:t xml:space="preserve">NV: Die Beschwerde gegen einen Streitwert-Beschluss des FG ist unzulässig; denn in Streitigkeiten über Kosten, zu denen auch die Festsetzung des Streitwertes gehört, ist die Beschwerde nicht gegeben und daher nicht statthaft .</w:t>
      </w:r>
    </w:p>
    <w:p>
      <w:pPr>
        <w:pStyle w:val="Heading2"/>
      </w:pPr>
      <w:r>
        <w:t xml:space="preserve">Tatbestand</w:t>
      </w:r>
    </w:p>
    <w:p>
      <w:r>
        <w:rPr>
          <w:b/>
        </w:rPr>
        <w:t xml:space="preserve">Rn. 1</w:t>
      </w:r>
    </w:p>
    <w:p>
      <w:r>
        <w:t xml:space="preserve">I. Die Klägerin und Beschwerdeführerin (Beschwerdeführerin) begehrt mit ihrer als Beschwerde zu wertenden Eingabe, den Streitwertfestsetzungs-Beschluss des Finanzgerichts (FG) vom 26. März 2012 6 K 2614/08 EZ wegen Eigenheimzulage ab 2006 aufzuheben und die Streitwertfestsetzung zu ihren Gunsten zu ändern. Das FG hat der Berechnung in diesem Beschluss einen Gesamtförderzeitraum von 8 Jahren zugrunde gelegt. Demgegenüber bittet die Beschwerdeführerin um Überprüfung des FG-Beschlusses; sie will wegen ihres Getrenntlebens seit Februar 2009 lediglich einen Förderzeitraum von 4 Jahren zugrunde legen.</w:t>
      </w:r>
    </w:p>
    <w:p>
      <w:pPr>
        <w:pStyle w:val="Heading2"/>
      </w:pPr>
      <w:r>
        <w:t xml:space="preserve">Entscheidungsgründe</w:t>
      </w:r>
    </w:p>
    <w:p>
      <w:r>
        <w:rPr>
          <w:b/>
        </w:rPr>
        <w:t xml:space="preserve">Rn. 2</w:t>
      </w:r>
    </w:p>
    <w:p>
      <w:r>
        <w:t xml:space="preserve">II. Die Beschwerde ist unzulässig, weil unstatthaft.</w:t>
      </w:r>
    </w:p>
    <w:p>
      <w:r>
        <w:rPr>
          <w:b/>
        </w:rPr>
        <w:t xml:space="preserve">Rn. 3</w:t>
      </w:r>
    </w:p>
    <w:p>
      <w:r>
        <w:t xml:space="preserve">Denn in Streitigkeiten über Kosten, zu denen auch die Festsetzung des Streitwertes gehört(Gräber/Ruban, Finanzgerichtsordnung, 7. Aufl., § 128 Rz 12, m.w.N.), ist die Beschwerde gemäß § 128 Abs. 4 Satz 1 der Finanzgerichtsordnung (FGO) nicht gegeben und daher nicht statthaft (vgl. Beschlüsse des Bundesfinanzhofs vom 20. Februar 2008 VI B 121/07, nicht amtlich veröffentlicht, juris; vom 7. Oktober 2010 IX B 132/10, BFH/NV 2011,61).</w:t>
      </w:r>
    </w:p>
    <w:p>
      <w:r>
        <w:rPr>
          <w:b/>
        </w:rPr>
        <w:t xml:space="preserve">Rn. 4</w:t>
      </w:r>
    </w:p>
    <w:p>
      <w:r>
        <w:t xml:space="preserve">In der Sache hat der Senat bereits mit Beschlüssen vom 20. Februar 2012 IX E 3/12 (Erinnerung) und vom 17. April 2012 IX S 4/12 (Gegenvorstellung) zur Problematik Stellung genommen.</w:t>
      </w:r>
    </w:p>
    <w:p>
      <w:r>
        <w:rPr>
          <w:color w:val="555555"/>
          <w:sz w:val="17"/>
        </w:rPr>
        <w:t xml:space="preserve">Zitiervorschlag: BFH, Beschluss vom 30.05.2012 – IX B 54/12</w:t>
      </w:r>
    </w:p>
    <w:p>
      <w:r>
        <w:rPr>
          <w:color w:val="555555"/>
          <w:sz w:val="17"/>
        </w:rPr>
        <w:t xml:space="preserve">Quelle: rechtsprechung-im-internet.de, abgerufen 03.07.2026</w:t>
      </w:r>
    </w:p>
    <w:p>
      <w:r>
        <w:rPr>
          <w:color w:val="555555"/>
          <w:sz w:val="17"/>
        </w:rPr>
        <w:t xml:space="preserve">Nicht-amtliche Fassung — maßgeblich ist die Ausfertigung des Gerichts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https://recht.nulegal.eu/rechtsprechung/bfh/2012-05-30/ix-b-54-12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Fassung. Maßgeblich ist die Fassung des Gerichts.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BFH, Beschluss vom 30.05.2012 – IX B 54/12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