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ZVFV</w:t>
      </w:r>
    </w:p>
    <w:p>
      <w:r>
        <w:rPr>
          <w:color w:val="555555"/>
          <w:sz w:val="18"/>
        </w:rPr>
        <w:t xml:space="preserve">Zwangsvollstreckungsformular-Verordnung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Auf Grund des § 758a Absatz 6 und des § 829 Absatz 4 der Zivilprozessordnung in der Fassung der Bekanntmachung vom 5. Dezember 2005 (BGBl. I S. 3202; 2006 I S. 431; 2007 I S. 1781) verordnet das Bundesministerium der Justiz:</w:t>
      </w:r>
    </w:p>
    <w:p>
      <w:r>
        <w:rPr>
          <w:color w:val="555555"/>
          <w:sz w:val="17"/>
        </w:rPr>
        <w:t xml:space="preserve">Zitiervorschlag: Eingangsformel ZVFV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https://recht.nulegal.eu/gesetze/zvfv--2012/eingangsformel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