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ZVFV — (zu § 1)Antrag auf Erlass einer richterlichen Durchsuchungsanordnung</w:t>
      </w:r>
    </w:p>
    <w:p>
      <w:r>
        <w:rPr>
          <w:color w:val="555555"/>
          <w:sz w:val="18"/>
        </w:rPr>
        <w:t xml:space="preserve">Zwangsvollstreckungsformular-Verordnung</w:t>
      </w:r>
    </w:p>
    <w:p>
      <w:r>
        <w:rPr>
          <w:color w:val="555555"/>
          <w:sz w:val="18"/>
        </w:rPr>
        <w:t xml:space="preserve">Historische Fassung: Stand 10.06.2019 bis 22.12.2022. Dies ist nicht die aktuelle Fassung.</w:t>
      </w:r>
    </w:p>
    <w:p>
      <w:r>
        <w:t xml:space="preserve">(Fundstelle: BGBl. I 2014, 755 - 758)</w:t>
      </w:r>
    </w:p>
    <w:p>
      <w:r>
        <w:rPr>
          <w:color w:val="555555"/>
          <w:sz w:val="17"/>
        </w:rPr>
        <w:t xml:space="preserve">Zitiervorschlag: Anlage 1 ZVFV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https://recht.nulegal.eu/gesetze/zvfv--2012/anlage-1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