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ZFdG — Bußgeldvorschriften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Ordnungswidrig handelt, wer</w:t>
      </w:r>
    </w:p>
    <w:p>
      <w:pPr>
        <w:ind w:left="420"/>
      </w:pPr>
      <w:r>
        <w:t xml:space="preserve">1. einer vollziehbaren Anordnung nach § 23a Abs. 8 in Verbindung mit § 2 Abs. 1 Satz 1 oder 3 des Artikel 10-Gesetzes zuwiderhandelt,</w:t>
      </w:r>
    </w:p>
    <w:p>
      <w:pPr>
        <w:ind w:left="420"/>
      </w:pPr>
      <w:r>
        <w:t xml:space="preserve">2. entgegen § 23a Abs. 8 in Verbindung mit § 2 Abs. 2 Satz 2 des Artikel 10-Gesetzes eine Person betraut oder</w:t>
      </w:r>
    </w:p>
    <w:p>
      <w:pPr>
        <w:ind w:left="420"/>
      </w:pPr>
      <w:r>
        <w:t xml:space="preserve">3. entgegen § 23a Abs. 8 in Verbindung mit § 2 Abs. 2 Satz 3 des Artikel 10-Gesetzes nicht sicherstellt, dass eine Geheimschutzmaßnahme getroffen wird.</w:t>
      </w:r>
    </w:p>
    <w:p>
      <w:r>
        <w:t xml:space="preserve">(2) Die Ordnungswidrigkeit kann mit einer Geldbuße bis zu zwanzigtausend Euro geahndet werden.</w:t>
      </w:r>
    </w:p>
    <w:p>
      <w:r>
        <w:t xml:space="preserve">(3) Verwaltungsbehörde im Sinne des § 36 Abs. 1 Nr. 1 des Gesetzes über Ordnungswidrigkeiten ist das Bundesministerium der Finanzen; § 36 Abs. 3 des Gesetzes über Ordnungswidrigkeiten gilt entsprechend.</w:t>
      </w:r>
    </w:p>
    <w:p>
      <w:r>
        <w:rPr>
          <w:color w:val="555555"/>
          <w:sz w:val="17"/>
        </w:rPr>
        <w:t xml:space="preserve">Zitiervorschlag: § 46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