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ZFdG — Strafvorschriften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Historische Fassung: Stand 10.06.2019 bis 02.04.2021. Dies ist nicht die aktuelle Fassung.</w:t>
      </w:r>
    </w:p>
    <w:p>
      <w:r>
        <w:t xml:space="preserve">Mit Freiheitsstrafe bis zu zwei Jahren oder mit Geldstrafe wird bestraft, wer entgegen § 23e eine Mitteilung macht.</w:t>
      </w:r>
    </w:p>
    <w:p>
      <w:r>
        <w:rPr>
          <w:color w:val="555555"/>
          <w:sz w:val="17"/>
        </w:rPr>
        <w:t xml:space="preserve">Zitiervorschlag: § 45 ZFdG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https://recht.nulegal.eu/gesetze/zfdg--2002/45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