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ZFdG — Schadensausgleich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Historische Fassung: Stand 10.06.2019 bis 02.04.2021. Dies ist nicht die aktuelle Fassung.</w:t>
      </w:r>
    </w:p>
    <w:p>
      <w:r>
        <w:t xml:space="preserve">Erleidet jemand bei der Erfüllung der Aufgaben des Zollkriminalamtes nach § 5 oder der Zollfahndungsämter nach § 25 Abs. 2 sowie bei einer Inanspruchnahme nach § 26 Abs. 2 einen Schaden, so gelten die §§ 51 bis 56 des Bundespolizeigesetzes entsprechend.</w:t>
      </w:r>
    </w:p>
    <w:p>
      <w:r>
        <w:rPr>
          <w:color w:val="555555"/>
          <w:sz w:val="17"/>
        </w:rPr>
        <w:t xml:space="preserve">Zitiervorschlag: § 42 ZFdG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https://recht.nulegal.eu/gesetze/zfdg--2002/42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