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ZFdG — Übermittlungsverbote und Verweigerungsgründe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(1) Die Übermittlung nach den Vorschriften dieses Gesetzes unterbleibt, wenn</w:t>
      </w:r>
    </w:p>
    <w:p>
      <w:pPr>
        <w:ind w:left="420"/>
      </w:pPr>
      <w:r>
        <w:t xml:space="preserve">1. für die übermittelnde Stelle erkennbar ist, dass unter Berücksichtigung der Art der Daten und ihrer Erhebung die schutzwürdigen Interessen des Betroffenen das Allgemeininteresse an der Übermittlung überwiegen, oder</w:t>
      </w:r>
    </w:p>
    <w:p>
      <w:pPr>
        <w:ind w:left="420"/>
      </w:pPr>
      <w:r>
        <w:t xml:space="preserve">2. besondere bundesgesetzliche Verwendungsregelungen entgegenstehen. Die Verpflichtung zur Wahrung gesetzlicher Geheimhaltungspflichten oder besonderer Amtsgeheimnisse, die nicht auf gesetzlichen Vorschriften beruhen, bleibt unberührt.</w:t>
      </w:r>
    </w:p>
    <w:p>
      <w:r>
        <w:t xml:space="preserve">Satz 1 Nr. 1 gilt nicht für Übermittlungen an Strafgerichte und Staatsanwaltschaften und im Falle des § 37 Abs. 2.</w:t>
      </w:r>
    </w:p>
    <w:p>
      <w:r>
        <w:t xml:space="preserve">(2) Die Datenübermittlung nach § 34a Absatz 1 und 3 unterbleibt auch dann, wenn</w:t>
      </w:r>
    </w:p>
    <w:p>
      <w:pPr>
        <w:ind w:left="420"/>
      </w:pPr>
      <w:r>
        <w:t xml:space="preserve">1. hierdurch wesentliche Sicherheitsinteressen des Bundes oder der Länder beeinträchtigt würden,</w:t>
      </w:r>
    </w:p>
    <w:p>
      <w:pPr>
        <w:ind w:left="420"/>
      </w:pPr>
      <w:r>
        <w:t xml:space="preserve">2. die Übermittlung der Daten zu den in Artikel 6 des Vertrages über die Europäische Union enthaltenen Grundsätzen in Widerspruch stünde,</w:t>
      </w:r>
    </w:p>
    <w:p>
      <w:pPr>
        <w:ind w:left="420"/>
      </w:pPr>
      <w:r>
        <w:t xml:space="preserve">3. die zu übermittelnden Daten bei der ersuchten Behörde nicht vorhanden sind und nur durch das Ergreifen von Zwangsmaßnahmen erlangt werden können oder</w:t>
      </w:r>
    </w:p>
    <w:p>
      <w:pPr>
        <w:ind w:left="420"/>
      </w:pPr>
      <w:r>
        <w:t xml:space="preserve">4. die Übermittlung der Daten unverhältnismäßig wäre oder die Daten für die Zwecke, für die sie übermittelt werden sollen, nicht erforderlich sind.</w:t>
      </w:r>
    </w:p>
    <w:p>
      <w:r>
        <w:t xml:space="preserve">(3) Die Datenübermittlung nach § 34a Absatz 1 und 3 kann darüber hinaus auch dann unterbleiben, wenn</w:t>
      </w:r>
    </w:p>
    <w:p>
      <w:pPr>
        <w:ind w:left="420"/>
      </w:pPr>
      <w:r>
        <w:t xml:space="preserve">1. die zu übermittelnden Daten bei den Behörden des Zollfahndungsdienstes nicht vorhanden sind, jedoch ohne das Ergreifen von Zwangsmaßnahmen erlangt werden können,</w:t>
      </w:r>
    </w:p>
    <w:p>
      <w:pPr>
        <w:ind w:left="420"/>
      </w:pPr>
      <w:r>
        <w:t xml:space="preserve">2. hierdurch der Erfolg laufender Ermittlungen oder Leib, Leben oder Freiheit einer Person gefährdet würde oder</w:t>
      </w:r>
    </w:p>
    <w:p>
      <w:pPr>
        <w:ind w:left="420"/>
      </w:pPr>
      <w:r>
        <w:t xml:space="preserve">3. die Tat, zu deren Verhütung die Daten übermittelt werden sollen, nach deutschem Recht mit einer Freiheitsstrafe von im Höchstmaß einem Jahr oder weniger bedroht ist.</w:t>
      </w:r>
    </w:p>
    <w:p>
      <w:r>
        <w:rPr>
          <w:color w:val="555555"/>
          <w:sz w:val="17"/>
        </w:rPr>
        <w:t xml:space="preserve">Zitiervorschlag: § 35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