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ZFdG — Datenübermittlung ins Ausland sowie an über- oder zwischenstaatliche Stellen</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Die Behörden des Zollfahndungsdienstes dürfen an Zoll-, Polizei-, Justiz- und Verwaltungsbehörden sowie an sonstige für die Verhütung oder Verfolgung von Straftaten zuständige öffentliche Stellen anderer Staaten sowie zwischen- und überstaatliche Stellen, die mit Aufgaben der Verhütung oder Verfolgung von Straftaten befasst sind, personenbezogene Daten übermitteln, soweit dies erforderlich ist</w:t>
      </w:r>
    </w:p>
    <w:p>
      <w:pPr>
        <w:ind w:left="420"/>
      </w:pPr>
      <w:r>
        <w:t xml:space="preserve">1. zur Erfüllung einer ihnen nach diesem Gesetz obliegenden Aufgabe,</w:t>
      </w:r>
    </w:p>
    <w:p>
      <w:pPr>
        <w:ind w:left="420"/>
      </w:pPr>
      <w:r>
        <w:t xml:space="preserve">2. zur Verfolgung von Straftaten und zur Strafvollstreckung nach Maßgabe der Vorschriften über die internationale Rechtshilfe in strafrechtlichen Angelegenheiten oder der Vorschriften über die Zusammenarbeit mit dem Internationalen Strafgerichtshof oder</w:t>
      </w:r>
    </w:p>
    <w:p>
      <w:pPr>
        <w:ind w:left="420"/>
      </w:pPr>
      <w:r>
        <w:t xml:space="preserve">3. zur Abwehr einer im Einzelfall bestehenden erheblichen Gefahr für die öffentliche Sicherheit.</w:t>
      </w:r>
    </w:p>
    <w:p>
      <w:r>
        <w:t xml:space="preserve">Gleiches gilt, wenn Anhaltspunkte dafür vorliegen, dass Straftaten von erheblicher Bedeutung begangen werden sollen.</w:t>
      </w:r>
    </w:p>
    <w:p>
      <w:r>
        <w:t xml:space="preserve">(2) Die Einrichtung eines automatisierten Verfahrens durch das Zollkriminalamt für die Übermittlung personenbezogener Daten an internationale Datenbestände ist zulässig nach Maßgabe der völkerrechtlichen Verträge, denen der Bundestag gemäß Artikel 59 Abs. 2 des Grundgesetzes in Form eines Bundesgesetzes zugestimmt hat.</w:t>
      </w:r>
    </w:p>
    <w:p>
      <w:r>
        <w:t xml:space="preserve">(3) Die Behörden des Zollfahndungsdienstes dürfen personenbezogene Daten an Dienststellen der Stationierungsstreitkräfte nach Artikel 3 des Zusatzabkommens vom 3. August 1959 zu dem Abkommen zwischen den Parteien des Nordatlantikvertrages vom 19. Juni 1951 über die Rechtsstellung ihrer Truppen hinsichtlich der in der Bundesrepublik Deutschland stationierten ausländischen Truppen (Zusatzabkommen zum NATO-Truppenstatut; BGBl. 1961 II S. 1183, 1218), zuletzt geändert durch Artikel 2 des Abkommens vom 18. März 1993 zur Änderung des Zusatzabkommens zum NATO-Truppenstatut und zu weiteren Übereinkünften (BGBl. 1994 II S. 2594, 2598), übermitteln, wenn dies zur rechtmäßigen Erfüllung der in deren Zuständigkeit liegenden Aufgaben erforderlich ist.</w:t>
      </w:r>
    </w:p>
    <w:p>
      <w:r>
        <w:t xml:space="preserve">(4) Die Behörde des Zollfahndungsdienstes trägt die Verantwortung für die Zulässigkeit der Übermittlung; sie hat die Übermittlung und ihren Anlass aufzuzeichnen. Der Dritte, an den übermittelt wird, ist darauf hinzuweisen, dass die Daten nur zu dem Zweck genutzt werden dürfen, zu dem sie übermittelt worden sind. Ferner ist ihm der vorgesehene Löschungszeitpunkt mitzuteilen. Die Übermittlung personenbezogener Daten unterbleibt, soweit Grund zu der Annahme besteht, dass durch sie gegen den Zweck eines deutschen Gesetzes verstoßen würde. Die Übermittlung unterbleibt außerdem, soweit, auch unter Berücksichtigung des besonderen öffentlichen Interesses an der Datenübermittlung, im Einzelfall schutzwürdige Interessen der betroffenen Person überwiegen. Zu den schutzwürdigen Interessen der betroffenen Person gehört auch das Vorhandensein eines angemessenen Datenschutzniveaus im Empfängerstaat. Die schutzwürdigen Interessen der betroffenen Person können auch dadurch gewahrt werden, dass der Empfängerstaat oder die empfangende zwischen- oder überstaatliche Stelle im Einzelfall einen angemessenen Schutz der übermittelten Daten garantiert.</w:t>
      </w:r>
    </w:p>
    <w:p>
      <w:r>
        <w:rPr>
          <w:color w:val="555555"/>
          <w:sz w:val="17"/>
        </w:rPr>
        <w:t xml:space="preserve">Zitiervorschlag: § 34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