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32b ZFdG — Sicherstellung, Verwahrung und Verwertung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30.09.2019 bis 02.04.2021. Dies ist nicht die aktuelle Fassung.</w:t>
      </w:r>
    </w:p>
    <w:p>
      <w:r>
        <w:t xml:space="preserve">(1) Die Behörden des Zollfahndungsdienstes können im Zuständigkeitsbereich der Zollverwaltung eine Sache sicherstellen, um eine gegenwärtige Gefahr abzuwehren.</w:t>
      </w:r>
    </w:p>
    <w:p>
      <w:r>
        <w:t xml:space="preserve">(2) Die §§ 48 bis 50 des Bundespolizeigesetzes gelten entsprechend. Kosten, die den Behörden des Zollfahndungsdienstes durch die Sicherstellung und Verwahrung entstehen, sind vom Verantwortlichen zu tragen; die §§ 17 und 18 des Bundespolizeigesetzes gelten entsprechend. Mehrere Verantwortliche haften als Gesamtschuldner. Die Kosten können im Verwaltungsvollstreckungsverfahren beigetrieben werden.</w:t>
      </w:r>
    </w:p>
    <w:p>
      <w:r>
        <w:rPr>
          <w:color w:val="555555"/>
          <w:sz w:val="17"/>
        </w:rPr>
        <w:t xml:space="preserve">Zitiervorschlag: § 32b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https://recht.nulegal.eu/gesetze/zfdg--2002/32b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