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ZFdG — Datenerhebung durch den verdeckten Einsatz technischer Mittel zur Anfertigung von Bildaufnahmen und Bildaufzeichnungen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Historische Fassung: Stand 10.06.2019 bis 02.04.2021. Dies ist nicht die aktuelle Fassung.</w:t>
      </w:r>
    </w:p>
    <w:p>
      <w:r>
        <w:t xml:space="preserve">(1) Die Zollfahndungsämter dürfen außerhalb von Wohnungen personenbezogene Daten durch den verdeckten Einsatz technischer Mittel zur Anfertigung von Bildaufnahmen und Bildaufzeichnungen in entsprechender Anwendung des § 19 erheben.</w:t>
      </w:r>
    </w:p>
    <w:p>
      <w:r>
        <w:t xml:space="preserve">(2) Für die Anordnung gilt § 28 Abs. 2 entsprechend.</w:t>
      </w:r>
    </w:p>
    <w:p>
      <w:r>
        <w:t xml:space="preserve">(3) § 18 Abs. 4 gilt entsprechend.</w:t>
      </w:r>
    </w:p>
    <w:p>
      <w:r>
        <w:rPr>
          <w:color w:val="555555"/>
          <w:sz w:val="17"/>
        </w:rPr>
        <w:t xml:space="preserve">Zitiervorschlag: § 29 ZFdG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https://recht.nulegal.eu/gesetze/zfdg--2002/29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