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ZFdG — Beschränkung des Brief-, Post- und Fernmeldegeheimnisses</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Rechtfertigen Tatsachen die Annahme, dass Personen Straftaten nach § 19 Abs. 1 oder 2, § 20 Abs. 1, § 20a Abs. 1 oder 2 oder § 22a Abs. 1 Nr. 4, 5 und 7 oder Abs. 2 des Gesetzes über die Kontrolle von Kriegswaffen vorbereiten, ist das Zollkriminalamt befugt, zur Verhütung dieser Straftaten dem Brief- oder Postgeheimnis unterliegende Sendungen zu öffnen und einzusehen sowie die dem Fernmeldegeheimnis unterliegende Telekommunikation zu überwachen und aufzuzeichnen. Die Überwachung und Aufzeichnung bedarf der vorherigen richterlichen Anordnung.</w:t>
      </w:r>
    </w:p>
    <w:p>
      <w:r>
        <w:t xml:space="preserve">(2) Eine Vorbereitung von Straftaten im Sinne von Absatz 1 Satz 1 ist eine Handlung, die darauf gerichtet ist, Straftaten zu begehen, das geschützte Rechtsgut aber nicht unmittelbar gefährdet. Insbesondere fallen darunter das Führen von Verhandlungen über die Lieferung von Gütern oder das Erbringen von Dienstleistungen, das Anbieten, der Erwerb, die Herstellung oder die Überlassung von Gütern, das Anbieten von Dienstleistungen, die Beschaffung von Transportmitteln für die Lieferung von Gütern oder das Anwerben von Teilnehmern, soweit dies der Begehung der Straftat nützlich sein soll.</w:t>
      </w:r>
    </w:p>
    <w:p>
      <w:r>
        <w:t xml:space="preserve">(3) Die Absätze 1 und 2 gelten entsprechend, wenn Tatsachen die Annahme rechtfertigen, dass Personen die öffentliche Sicherheit und Ordnung erheblich gefährden, indem sie rechtswidrig und ohne die hierfür erforderliche Genehmigung oder Entscheidung nach Artikel 4 Abs. 4 in Verbindung mit Abs. 1 oder 2 der Verordnung (EG) Nr. 428/2009 vom 5. Mai 2009 oder entgegen einer Beschränkung oder Handlungspflicht nach § 4 Absatz 1 und § 5 des Außenwirtschaftsgesetzes die Ausfuhr von</w:t>
      </w:r>
    </w:p>
    <w:p>
      <w:pPr>
        <w:ind w:left="420"/>
      </w:pPr>
      <w:r>
        <w:t xml:space="preserve">1. Waffen, Munition und Rüstungsmaterial einschließlich darauf bezogener Herstellungsausrüstung und Technologie, sowie von Gütern, die geeignet sind und von denen auf Grund von Tatsachen angenommen werden kann, dass sie ganz oder teilweise für eine militärische Endbestimmung im Sinne von Artikel 4 Abs. 2 Satz 2 der Verordnung (EG) Nr. 428/2009 vom 5. Mai 2009 bestimmt sind,</w:t>
      </w:r>
    </w:p>
    <w:p>
      <w:pPr>
        <w:ind w:left="780"/>
      </w:pPr>
      <w:r>
        <w:t xml:space="preserve">a) wenn diese für die Verwendung in einem Staat bestimmt sind, der sich in einem internationalen oder nicht internationalen bewaffneten Konflikt befindet oder in dem die dringende Gefahr eines solchen Konfliktes besteht, oder</w:t>
      </w:r>
    </w:p>
    <w:p>
      <w:pPr>
        <w:ind w:left="780"/>
      </w:pPr>
      <w:r>
        <w:t xml:space="preserve">b) wenn gegen das Käufer- oder Bestimmungsland oder gegen den Empfänger der Güter ein Waffenembargo auf Grund eines vom Rat der Europäischen Union verabschiedeten Gemeinsamen Standpunktes oder einer verbindlichen Resolution des Sicherheitsrates der Vereinten Nationen verhängt wurde und die Länder oder die Rechtsakte der Europäischen Union oder des Sicherheitsrates der Vereinten Nationen, auf Grund derer die Liste der Empfänger erstellt wurde, in einer Veröffentlichung des Bundesministeriums für Wirtschaft und Energie im Bundesanzeiger benannt sind, oder</w:t>
      </w:r>
    </w:p>
    <w:p>
      <w:pPr>
        <w:ind w:left="780"/>
      </w:pPr>
      <w:r>
        <w:t xml:space="preserve">c) (weggefallen)</w:t>
      </w:r>
    </w:p>
    <w:p>
      <w:pPr>
        <w:ind w:left="780"/>
      </w:pPr>
      <w:r>
        <w:t xml:space="preserve">d) wenn durch die Lieferung der Güter die Gefahr eines schweren Nachteils für die äußere Sicherheit der Bundesrepublik Deutschland herbeigeführt wird,</w:t>
      </w:r>
    </w:p>
    <w:p>
      <w:pPr>
        <w:ind w:left="420"/>
      </w:pPr>
      <w:r>
        <w:t xml:space="preserve">2. Gütern, die ganz oder teilweise geeignet sind und von denen auf Grund von Tatsachen angenommen werden kann, dass sie dazu bestimmt sind, einen erheblichen Beitrag zur Entwicklung, Herstellung, Wartung, Lagerung oder zum Einsatz von Atomwaffen, biologischen oder chemischen Waffen zu leisten, oder</w:t>
      </w:r>
    </w:p>
    <w:p>
      <w:pPr>
        <w:ind w:left="420"/>
      </w:pPr>
      <w:r>
        <w:t xml:space="preserve">3. Gütern, die ganz oder teilweise geeignet sind und von denen auf Grund von Tatsachen angenommen werden kann, dass sie dazu bestimmt sind, einen erheblichen Beitrag zur Entwicklung, Herstellung, Wartung, Lagerung oder zum Einsatz von Flugkörpern für Atomwaffen, biologischen oder chemischen Waffen zu leisten oder,</w:t>
      </w:r>
    </w:p>
    <w:p>
      <w:pPr>
        <w:ind w:left="420"/>
      </w:pPr>
      <w:r>
        <w:t xml:space="preserve">4. Gütern, die ganz oder teilweise geeignet sind und von denen auf Grund von Tatsachen angenommen werden kann, dass sie dazu bestimmt sind, einen erheblichen Beitrag zur Errichtung, zum Betrieb einer oder zum Einbau in eine Anlage für kerntechnische Zwecke im Sinne der Kategorie 0 des Teils I Abschnitt C der Ausfuhrliste (Anlage AL zur Außenwirtschaftsverordnung) zu leisten und das Käufer- oder Bestimmungsland Algerien, Irak, Iran, Israel, Jordanien, Libyen, Nordkorea, Pakistan oder Syrien ist,</w:t>
      </w:r>
    </w:p>
    <w:p>
      <w:r>
        <w:t xml:space="preserve">vorbereiten.</w:t>
      </w:r>
    </w:p>
    <w:p>
      <w:r>
        <w:t xml:space="preserve">(4) Beschränkungen nach Absatz 1 oder 3 dürfen auch angeordnet werden gegenüber einer natürlichen Person oder gegenüber einer juristischen Person oder Personenvereinigung, wenn</w:t>
      </w:r>
    </w:p>
    <w:p>
      <w:pPr>
        <w:ind w:left="420"/>
      </w:pPr>
      <w:r>
        <w:t xml:space="preserve">1. Personen, bei denen die Voraussetzungen für die Anordnung von Beschränkungen nach Absatz 1 oder 3 vorliegen, für sie tätig sind und Tatsachen die Annahme rechtfertigen, dass diese an ihrem Postverkehr teilnehmen oder ihren Telekommunikationsanschluss oder ihr Endgerät benutzen, oder</w:t>
      </w:r>
    </w:p>
    <w:p>
      <w:pPr>
        <w:ind w:left="420"/>
      </w:pPr>
      <w:r>
        <w:t xml:space="preserve">2. sie für Personen, bei denen die Voraussetzungen für die Anordnung von Beschränkungen nach Absatz 1 oder 3 vorliegen, Mitteilungen entgegennehmen oder von diesen herrührende Mitteilungen weitergeben oder</w:t>
      </w:r>
    </w:p>
    <w:p>
      <w:pPr>
        <w:ind w:left="420"/>
      </w:pPr>
      <w:r>
        <w:t xml:space="preserve">3. Personen, bei denen die Voraussetzungen für die Anordnung von Beschränkungen nach Absatz 1 oder 3 vorliegen, ihren Telekommunikationsanschluss oder ihr Endgerät benutzen.</w:t>
      </w:r>
    </w:p>
    <w:p>
      <w:r>
        <w:t xml:space="preserve">Beschränkungen nach Satz 1 dürfen nur angeordnet werden, wenn die Erkenntnisse aus Maßnahmen gegen Personen, bei denen die Voraussetzungen nach Absatz 1 oder 3 vorliegen, nicht ausreichen werden, um die in Vorbereitung befindliche Tat zu verhüten.</w:t>
      </w:r>
    </w:p>
    <w:p>
      <w:r>
        <w:t xml:space="preserve">(4a) Beschränkungen nach Absatz 1, 3 oder 4 sind unzulässig, wenn tatsächliche Anhaltspunkte für die Annahme vorliegen, dass durch sie allein Kommunikationsinhalte aus dem Kernbereich privater Lebensgestaltung erlangt würden. Kommunikationsinhalte aus dem Kernbereich privater Lebensgestaltung, die durch eine Beschränkung nach Absatz 1, 3 oder 4 erlangt worden sind, dürfen nicht verwertet werden. Sie sind unverzüglich unter Aufsicht eines Bediensteten, der die Befähigung zum Richteramt hat, zu löschen. Die Tatsache der Erfassung der Daten und ihrer Löschung ist zu dokumentieren. Diese Daten dürfen ausschließlich zu Zwecken der Datenschutzkontrolle verwendet werden. Sie sind zu löschen, wenn sie für diese Zwecke nicht mehr erforderlich sind, spätestens jedoch am Ende des Kalenderjahres, das dem Jahr der Dokumentierung folgt.</w:t>
      </w:r>
    </w:p>
    <w:p>
      <w:r>
        <w:t xml:space="preserve">(5) Eine Maßnahme, die sich gegen eine in § 53 Abs. 1 Satz 1 Nr. 1, 2 oder Nr. 4, jeweils auch in Verbindung mit § 53a der Strafprozessordnung, genannte Person richtet und voraussichtlich Erkenntnisse erbringen würde, über die diese Person das Zeugnis verweigern dürfte, ist unzulässig. Dennoch erlangte Erkenntnisse dürfen nicht verwertet werden. Aufzeichnungen hierüber sind unverzüglich zu löschen. Die Tatsache ihrer Erlangung und der Löschung der Aufzeichnungen ist zu dokumentieren. Die Sätze 2 bis 4 gelten entsprechend, wenn durch eine Maßnahme, die sich nicht gegen eine in § 53 Abs. 1 Satz 1 Nr. 1, 2 oder Nr. 4, jeweils auch in Verbindung mit § 53a der Strafprozessordnung, genannte Person richtet, von dieser Person Erkenntnisse erlangt werden, über die sie das Zeugnis verweigern dürfte. Soweit durch eine Maßnahme eine in § 53 Abs. 1 Satz 1 Nr. 3 bis 3b oder Nr. 5, jeweils auch in Verbindung mit § 53a der Strafprozessordnung, genannte Person betroffen wäre und dadurch voraussichtlich Erkenntnisse erlangt würden, über die diese Person das Zeugnis verweigern dürfte, ist dies im Rahmen der Prüfung der Verhältnismäßigkeit unter Würdigung des öffentlichen Interesses an den von dieser Person wahrgenommenen Aufgaben und des Interesses an der Geheimhaltung der dieser Person anvertrauten oder bekannt gewordenen Tatsachen besonders zu berücksichtigen. Soweit hiernach geboten, ist die Maßnahme zu unterlassen oder, soweit dies nach der Art der Maßnahme möglich ist, zu beschränken.</w:t>
      </w:r>
    </w:p>
    <w:p>
      <w:r>
        <w:t xml:space="preserve">(5a) Absatz 5 gilt nicht, wenn Tatsachen die Annahme rechtfertigen, dass die dort genannten Personen an der Vorbereitung einer Tat nach Absatz 1 oder 3 beteiligt sind. Die Verwendung von Daten im Sinne von Absatz 5 Satz 2 ist zur Abwehr einer im Einzelfall bestehenden Lebensgefahr oder einer dringenden Gefahr für Leib oder Freiheit einer Person zulässig.</w:t>
      </w:r>
    </w:p>
    <w:p>
      <w:r>
        <w:t xml:space="preserve">(6) Beschränkungen nach Absatz 1, 3 oder 4 dürfen nur angeordnet werden, wenn es ohne die Erkenntnisse aus den damit verbundenen Maßnahmen aussichtslos oder wesentlich erschwert wäre, die vorbereiteten Taten zu verhindern und die Maßnahmen nicht außer Verhältnis zur Schwere der zu verhindernden Tat stehen. Die Maßnahmen dürfen auch durchgeführt werden, wenn andere Personen unvermeidbar betroffen werden.</w:t>
      </w:r>
    </w:p>
    <w:p>
      <w:r>
        <w:t xml:space="preserve">(7) Vor dem Antrag auf Anordnung nach § 23b ist die Staatsanwaltschaft zu unterrichten. Ebenso ist die Staatsanwaltschaft von der richterlichen Entscheidung, von einer Entscheidung des Bundesministeriums der Finanzen bei Gefahr im Verzug und von dem Ergebnis der durchgeführten Maßnahme zu unterrichten.</w:t>
      </w:r>
    </w:p>
    <w:p>
      <w:r>
        <w:t xml:space="preserve">(8) § 2 des Artikel 10-Gesetzes gilt entsprechend.</w:t>
      </w:r>
    </w:p>
    <w:p>
      <w:r>
        <w:rPr>
          <w:color w:val="555555"/>
          <w:sz w:val="17"/>
        </w:rPr>
        <w:t xml:space="preserve">Zitiervorschlag: § 23a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