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ZFdG — Befugnisse bei Sicherungs- und Schutzmaßnahmen</w:t>
      </w:r>
    </w:p>
    <w:p>
      <w:r>
        <w:rPr>
          <w:color w:val="555555"/>
          <w:sz w:val="18"/>
        </w:rPr>
        <w:t xml:space="preserve">Zollfahndungsdienstgesetz</w:t>
      </w:r>
    </w:p>
    <w:p>
      <w:r>
        <w:rPr>
          <w:color w:val="555555"/>
          <w:sz w:val="18"/>
        </w:rPr>
        <w:t xml:space="preserve">Historische Fassung: Stand 30.09.2019 bis 02.04.2021. Dies ist nicht die aktuelle Fassung.</w:t>
      </w:r>
    </w:p>
    <w:p>
      <w:r>
        <w:t xml:space="preserve">(1) Zur Erfüllung seiner Aufgaben nach § 5 darf das Zollkriminalamt, soweit nicht zum Schutz gefährdeter Zeugen durch Gesetz die Befugnisse besonders geregelt werden, die notwendigen Maßnahmen treffen, um eine im Einzelfall bestehende Gefahr für Leib, Leben, Gesundheit, Freiheit der Willensentschließung und -betätigung der in § 5 genannten Personen oder für wesentliche Vermögenswerte abzuwehren. In diesen Fällen darf das Zollkriminalamt</w:t>
      </w:r>
    </w:p>
    <w:p>
      <w:pPr>
        <w:ind w:left="420"/>
      </w:pPr>
      <w:r>
        <w:t xml:space="preserve">1. die Identität einer Person feststellen, wenn die Person sich in unmittelbarer Nähe der zu schützenden Person oder des zu schützenden Vermögenswertes aufhält und die Feststellung der Identität auf Grund der Gefährdungslage oder auf die Person bezogener Anhaltspunkte erforderlich ist; § 23 Abs. 3 Satz 1, 2, 4 und 5 des Bundespolizeigesetzes gilt entsprechend,</w:t>
      </w:r>
    </w:p>
    <w:p>
      <w:pPr>
        <w:ind w:left="420"/>
      </w:pPr>
      <w:r>
        <w:t xml:space="preserve">2. verlangen, dass Berechtigungsscheine, Bescheinigungen, Nachweise oder sonstige Urkunden zur Prüfung ausgehändigt werden, soweit es zur Erfüllung seiner Aufgabe erforderlich ist und der Betroffene auf Grund einer Rechtsvorschrift verpflichtet ist, diese Urkunden mitzuführen,</w:t>
      </w:r>
    </w:p>
    <w:p>
      <w:pPr>
        <w:ind w:left="420"/>
      </w:pPr>
      <w:r>
        <w:t xml:space="preserve">3. eine Person oder eine Sache durchsuchen, wenn sie sich in unmittelbarer Nähe der zu schützenden Person oder des zu schützenden Vermögenswertes aufhält oder befindet und die Durchsuchung auf Grund der Gefährdungslage oder auf die Person oder Sache bezogener Anhaltspunkte erforderlich ist; § 43 Abs. 3 bis 5 und § 44 Abs. 4 des Bundespolizeigesetzes gelten entsprechend,</w:t>
      </w:r>
    </w:p>
    <w:p>
      <w:pPr>
        <w:ind w:left="420"/>
      </w:pPr>
      <w:r>
        <w:t xml:space="preserve">4. die in § 24 Abs. 3 des Bundespolizeigesetzes bezeichneten erkennungsdienstlichen Maßnahmen vornehmen, wenn eine nach Nummer 1 zulässige Identitätsfeststellung auf andere Weise nicht oder nur unter erheblichen Schwierigkeiten möglich ist,</w:t>
      </w:r>
    </w:p>
    <w:p>
      <w:pPr>
        <w:ind w:left="420"/>
      </w:pPr>
      <w:r>
        <w:t xml:space="preserve">5. zur Abwehr einer Gefahr für die zu schützende Person oder den zu schützenden Vermögenswert eine Person vorübergehend von einem Ort verweisen oder ihr vorübergehend das Betreten eines Ortes verbieten,</w:t>
      </w:r>
    </w:p>
    <w:p>
      <w:pPr>
        <w:ind w:left="420"/>
      </w:pPr>
      <w:r>
        <w:t xml:space="preserve">6. zur Abwehr einer gegenwärtigen Gefahr für die zu schützende Person oder den zu schützenden Vermögenswert eine Sache sicherstellen; die §§ 48 bis 50 des Bundespolizeigesetzes gelten entsprechend,</w:t>
      </w:r>
    </w:p>
    <w:p>
      <w:pPr>
        <w:ind w:left="420"/>
      </w:pPr>
      <w:r>
        <w:t xml:space="preserve">7. eine Wohnung ohne Einwilligung des Inhabers betreten und durchsuchen, wenn dies zur Abwehr einer gegenwärtigen Gefahr für Leib, Leben oder Freiheit einer zu schützenden Person unerlässlich ist; § 46 des Bundespolizeigesetzes gilt entsprechend,</w:t>
      </w:r>
    </w:p>
    <w:p>
      <w:pPr>
        <w:ind w:left="420"/>
      </w:pPr>
      <w:r>
        <w:t xml:space="preserve">8. eine Person in Gewahrsam nehmen, wenn dies unerlässlich ist, um die unmittelbar bevorstehende Begehung einer Straftat gegen die zu schützende Person oder den zu schützenden Vermögenswert zu verhindern; § 40 Abs. 1 und 2 sowie die §§ 41 und 42 Abs. 1 Satz 1 und Abs. 2 des Bundespolizeigesetzes gelten entsprechend,</w:t>
      </w:r>
    </w:p>
    <w:p>
      <w:pPr>
        <w:ind w:left="420"/>
      </w:pPr>
      <w:r>
        <w:t xml:space="preserve">9. Maßnahmen nach den §§ 18 bis 20 treffen.</w:t>
      </w:r>
    </w:p>
    <w:p>
      <w:r>
        <w:t xml:space="preserve">Die §§ 15 bis 20 Absatz 1 des Bundespolizeigesetzes gelten entsprechend. Kosten, die dem Zollkriminalamt durch die unmittelbare Ausführung einer Maßnahme oder die Sicherstellung und Verwahrung entstehen, sind vom Verantwortlichen zu tragen. Mehrere Verantwortliche haften als Gesamtschuldner. Die Kosten können im Verwaltungsvollstreckungsverfahren beigetrieben werden.</w:t>
      </w:r>
    </w:p>
    <w:p>
      <w:r>
        <w:t xml:space="preserve">(2) Ist die Identität nach Absatz 1 Satz 2 Nummer 4 festgestellt, sind die im Zusammenhang mit der Feststellung angefallenen Unterlagen zu vernichten. Dies gilt nicht, wenn ihre weitere Aufbewahrung zur Verhütung von Straftaten gegen die zu schützende Person oder den zu schützenden Vermögenswert erforderlich ist, weil der Betroffene verdächtig ist, eine solche Straftat begangen zu haben und wegen der Art oder Ausführung der Tat die Gefahr einer Wiederholung besteht oder wenn die weitere Aufbewahrung nach anderen Rechtsvorschriften zulässig ist. Sind die Unterlagen an andere Stellen übermittelt worden, sind diese über die erfolgte Vernichtung zu unterrichten.</w:t>
      </w:r>
    </w:p>
    <w:p>
      <w:r>
        <w:t xml:space="preserve">(3) Zeugenschutzmaßnahmen können auch nach rechtskräftigem Abschluss des Strafverfahrens, in dem die Aussage erfolgt ist, fortgeführt werden. Für den Fall, dass noch die Strafvollstreckung betrieben wird, sind diese im Einvernehmen mit der Strafvollstreckungsbehörde und im Falle fortdauernder Inhaftierung auch im Einvernehmen mit der Justizvollzugsbehörde durchzuführen und zu beenden.</w:t>
      </w:r>
    </w:p>
    <w:p>
      <w:r>
        <w:t xml:space="preserve">(4) Behörden und sonstige öffentliche Stellen dürfen von sich aus an das Zollkriminalamt personenbezogene Daten übermitteln, wenn tatsächliche Anhaltspunkte bestehen, dass die Übermittlung für die Erfüllung der Zeugenschutzaufgaben des Zollkriminalamtes erforderlich ist. Eine Übermittlungspflicht besteht, wenn die Daten zur Abwehr einer Gefahr für Leib, Leben oder Freiheit erforderlich sind. Die Verantwortung für die Zulässigkeit der Übermittlung trägt die übermittelnde Stelle. Erfolgt die Übermittlung auf Ersuchen des Zollkriminalamtes, trägt dieses die Verantwortung.</w:t>
      </w:r>
    </w:p>
    <w:p>
      <w:r>
        <w:rPr>
          <w:color w:val="555555"/>
          <w:sz w:val="17"/>
        </w:rPr>
        <w:t xml:space="preserve">Zitiervorschlag: § 23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