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ZFdG — Zentralstelle</w:t>
      </w:r>
    </w:p>
    <w:p>
      <w:r>
        <w:rPr>
          <w:color w:val="555555"/>
          <w:sz w:val="18"/>
        </w:rPr>
        <w:t xml:space="preserve">Zollfahndungsdienstgesetz</w:t>
      </w:r>
    </w:p>
    <w:p>
      <w:r>
        <w:rPr>
          <w:color w:val="555555"/>
          <w:sz w:val="18"/>
        </w:rPr>
        <w:t xml:space="preserve">Historische Fassung: Stand 10.06.2019 bis 02.04.2021. Dies ist nicht die aktuelle Fassung.</w:t>
      </w:r>
    </w:p>
    <w:p>
      <w:r>
        <w:t xml:space="preserve">Das Zollkriminalamt ist die Zentralstelle für den Zollfahndungsdienst und ist darüber hinaus eine der Zentralstellen für das Auskunfts- und Nachrichtenwesen der Zollverwaltung.</w:t>
      </w:r>
    </w:p>
    <w:p>
      <w:r>
        <w:rPr>
          <w:color w:val="555555"/>
          <w:sz w:val="17"/>
        </w:rPr>
        <w:t xml:space="preserve">Zitiervorschlag: § 2 ZFdG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https://recht.nulegal.eu/gesetze/zfdg--2002/2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