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ZFdG — Datenschutzrechtliche Verantwortung im Zollfahndungsinformationssystem</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hat die Einhaltung der Regelungen zur Führung des Zollfahndungsinformationssystems zu überwachen.</w:t>
      </w:r>
    </w:p>
    <w:p>
      <w:r>
        <w:t xml:space="preserve">(2) Im Rahmen des Zollfahndungsinformationssystems obliegt die datenschutzrechtliche Verantwortung für die bei der Zentralstelle gespeicherten Daten, namentlich für die Rechtmäßigkeit der Erhebung, die Zulässigkeit der Eingabe sowie die Richtigkeit oder Aktualität der Daten, den Stellen, die die Daten unmittelbar eingeben. Die verantwortliche Stelle muss feststellbar sein. Die Verantwortung für die Zulässigkeit des Abrufs im automatisierten Verfahren trägt der Empfänger.</w:t>
      </w:r>
    </w:p>
    <w:p>
      <w:r>
        <w:t xml:space="preserve">(3) Auskünfte nach § 19 des Bundesdatenschutzgesetzes erteilt das Zollkriminalamt im Einvernehmen mit der nach Absatz 2 verantwortlichen Stelle.</w:t>
      </w:r>
    </w:p>
    <w:p>
      <w:r>
        <w:rPr>
          <w:color w:val="555555"/>
          <w:sz w:val="17"/>
        </w:rPr>
        <w:t xml:space="preserve">Zitiervorschlag: § 12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