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ZahntechMstrV</w:t>
      </w:r>
    </w:p>
    <w:p>
      <w:r>
        <w:rPr>
          <w:color w:val="555555"/>
          <w:sz w:val="18"/>
        </w:rPr>
        <w:t xml:space="preserve">Zahntechnikermeisterverordnung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Auf Grund des § 45 Abs. 1 der Handwerksordnung in der Fassung der Bekanntmachung vom 24. September 1998 (BGBl. I S. 3074, 2006 I S. 2095),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ZahntechMstrV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https://recht.nulegal.eu/gesetze/zahntechmstrv--2007/eingangsformel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