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ZahntechMstrV — Gliederung des Teils I</w:t>
      </w:r>
    </w:p>
    <w:p>
      <w:r>
        <w:rPr>
          <w:color w:val="555555"/>
          <w:sz w:val="18"/>
        </w:rPr>
        <w:t xml:space="preserve">Zahntechnikermeisterverordnung</w:t>
      </w:r>
    </w:p>
    <w:p>
      <w:r>
        <w:rPr>
          <w:color w:val="555555"/>
          <w:sz w:val="18"/>
        </w:rPr>
        <w:t xml:space="preserve">Historische Fassung: Stand 10.06.2019 bis 01.08.2025. Dies ist nicht die aktuelle Fassung.</w:t>
      </w:r>
    </w:p>
    <w:p>
      <w:r>
        <w:t xml:space="preserve">Der Teil I der Meisterprüfung umfasst als Prüfungsbereich ein Meisterprüfungsprojekt und ein darauf bezogenes Fachgespräch.</w:t>
      </w:r>
    </w:p>
    <w:p>
      <w:r>
        <w:rPr>
          <w:color w:val="555555"/>
          <w:sz w:val="17"/>
        </w:rPr>
        <w:t xml:space="preserve">Zitiervorschlag: § 3 ZahntechMstrV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https://recht.nulegal.eu/gesetze/zahntechmstrv--2007/3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