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8f WSG — Auslandsverwendungszuschlag</w:t>
      </w:r>
    </w:p>
    <w:p>
      <w:r>
        <w:rPr>
          <w:color w:val="555555"/>
          <w:sz w:val="18"/>
        </w:rPr>
        <w:t xml:space="preserve">Wehrsoldgesetz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Werden Soldaten im Rahmen von humanitären und unterstützenden Maßnahmen im Ausland unter den Voraussetzungen des § 56 Abs. 1 des Bundesbesoldungsgesetzes verwendet, erhalten sie einen Auslandsverwendungszuschlag unter den gleichen Voraussetzungen, zum gleichen Zeitpunkt und in gleicher Höhe wie Berufssoldaten und Soldaten auf Zeit. § 2 Abs. 2 gilt nicht. § 56 Absatz 3 Satz 1 und 2 des Bundesbesoldungsgesetzes gilt entsprechend.</w:t>
      </w:r>
    </w:p>
    <w:p>
      <w:r>
        <w:rPr>
          <w:color w:val="555555"/>
          <w:sz w:val="17"/>
        </w:rPr>
        <w:t xml:space="preserve">Zitiervorschlag: § 8f WSG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https://recht.nulegal.eu/gesetze/wsg--1957/8f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