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Weser/JadeLotsV 2003</w:t>
      </w:r>
    </w:p>
    <w:p>
      <w:r>
        <w:rPr>
          <w:color w:val="555555"/>
          <w:sz w:val="18"/>
        </w:rPr>
        <w:t xml:space="preserve">Weser/Jade-Lotsverordnung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1 Nr. 3, 4 und 5 in Verbindung mit § 12 des Seelotsgesetzes in der Fassung der Bekanntmachung vom 13. September 1984 (BGBl. I S. 1213) in Verbindung mit § 4 der Allgemeinen Lotsverordnung vom 21. April 1987 (BGBl. I S. 1290), von denen § 5 Abs. 1 des Seelotsgesetzes zuletzt durch Artikel 282 Nr. 1 der Verordnung vom 29. Oktober 2001 (BGBl. I S. 2785) geändert worden ist, verordnet die Wasser- und Schifffahrtsdirektion Nordwest nach Anhörung der Küstenländer und der Bundeslotsenkammer:</w:t>
      </w:r>
    </w:p>
    <w:p>
      <w:r>
        <w:rPr>
          <w:color w:val="555555"/>
          <w:sz w:val="17"/>
        </w:rPr>
        <w:t xml:space="preserve">Zitiervorschlag: Eingangsformel Weser/JadeLotsV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https://recht.nulegal.eu/gesetze/weser_jadelotsv_2003/eingangsformel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Weser/JadeLotsV 2003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