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WaffRGDV</w:t>
      </w:r>
    </w:p>
    <w:p>
      <w:r>
        <w:rPr>
          <w:color w:val="555555"/>
          <w:sz w:val="18"/>
        </w:rPr>
        <w:t xml:space="preserve">Waffenregistergesetz-Durchführungsverordnung</w:t>
      </w:r>
    </w:p>
    <w:p>
      <w:r>
        <w:rPr>
          <w:color w:val="555555"/>
          <w:sz w:val="18"/>
        </w:rPr>
        <w:t xml:space="preserve">Historische Fassung: Stand 19.09.2020 bis 02.07.2026. Dies ist nicht die aktuelle Fassung.</w:t>
      </w:r>
    </w:p>
    <w:p>
      <w:r>
        <w:t xml:space="preserve">Auf Grund des § 20 Absatz 1 und 2 sowie des § 22 Absatz 2 Satz 2 des Nationalen-Waffenregister-Gesetzes vom 25. Juni 2012 (BGBl. I S. 1366) verordnet das Bundesministerium des Innern:</w:t>
      </w:r>
    </w:p>
    <w:p>
      <w:r>
        <w:rPr>
          <w:color w:val="555555"/>
          <w:sz w:val="17"/>
        </w:rPr>
        <w:t xml:space="preserve">Zitiervorschlag: Eingangsformel WaffRGDV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https://recht.nulegal.eu/gesetze/waffrgdv--2012/eingangsformel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