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WaffRGDV — (weggefallen)</w:t>
      </w:r>
    </w:p>
    <w:p>
      <w:r>
        <w:rPr>
          <w:color w:val="555555"/>
          <w:sz w:val="18"/>
        </w:rPr>
        <w:t xml:space="preserve">Waffenregistergesetz-Durchführungsverordnung</w:t>
      </w:r>
    </w:p>
    <w:p>
      <w:r>
        <w:rPr>
          <w:color w:val="555555"/>
          <w:sz w:val="18"/>
        </w:rPr>
        <w:t xml:space="preserve">Historische Fassung: Stand 19.09.2020 bis 02.07.2026.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WaffRGDV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https://recht.nulegal.eu/gesetze/waffrgdv--2012/8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