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WaffRGDV — Datenabruf im automatisierten Verfahren</w:t>
      </w:r>
    </w:p>
    <w:p>
      <w:r>
        <w:rPr>
          <w:color w:val="555555"/>
          <w:sz w:val="18"/>
        </w:rPr>
        <w:t xml:space="preserve">Waffenregistergesetz-Durchführungsverordnung</w:t>
      </w:r>
    </w:p>
    <w:p>
      <w:r>
        <w:rPr>
          <w:color w:val="555555"/>
          <w:sz w:val="18"/>
        </w:rPr>
        <w:t xml:space="preserve">Historische Fassung: Stand 19.09.2020 bis 02.07.2026. Dies ist nicht die aktuelle Fassung.</w:t>
      </w:r>
    </w:p>
    <w:p>
      <w:r>
        <w:t xml:space="preserve">Die Datenübermittlung durch Abruf im automatisierten Verfahren erfolgt unter Nutzung des Datenaustauschstandards XWaffe oder über die von der Registerbehörde bereitgestellte Portalanwendung. § 2 Absatz 1 und 3 gilt entsprechend.</w:t>
      </w:r>
    </w:p>
    <w:p>
      <w:r>
        <w:rPr>
          <w:color w:val="555555"/>
          <w:sz w:val="17"/>
        </w:rPr>
        <w:t xml:space="preserve">Zitiervorschlag: § 5 WaffRGDV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https://recht.nulegal.eu/gesetze/waffrgdv--2012/5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