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VZVV — Inkrafttreten, Außerkrafttreten</w:t>
      </w:r>
    </w:p>
    <w:p>
      <w:r>
        <w:rPr>
          <w:color w:val="555555"/>
          <w:sz w:val="18"/>
        </w:rPr>
        <w:t xml:space="preserve">Vereinfachter-Zugang-Verlängerungsverordnung</w:t>
      </w:r>
    </w:p>
    <w:p>
      <w:r>
        <w:rPr>
          <w:color w:val="555555"/>
          <w:sz w:val="18"/>
        </w:rPr>
        <w:t xml:space="preserve">Historische Fassung: Stand 29.09.2020 bis 01.01.2021. Dies ist nicht die aktuelle Fassung.</w:t>
      </w:r>
    </w:p>
    <w:p>
      <w:r>
        <w:t xml:space="preserve">Diese Verordnung tritt am Tag nach der Verkündung in Kraft. Sie tritt am 31. Dezember 2020 außer Kraft.</w:t>
      </w:r>
    </w:p>
    <w:p>
      <w:r>
        <w:rPr>
          <w:color w:val="555555"/>
          <w:sz w:val="17"/>
        </w:rPr>
        <w:t xml:space="preserve">Zitiervorschlag: § 2 VZVV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https://recht.nulegal.eu/gesetze/vzvv--2020/2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