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VBVG — Abrechnungszeitraum für die Betreuungsvergütung</w:t>
      </w:r>
    </w:p>
    <w:p>
      <w:r>
        <w:rPr>
          <w:color w:val="555555"/>
          <w:sz w:val="18"/>
        </w:rPr>
        <w:t xml:space="preserve">Vormünder- und Betreuervergütungsgesetz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Die Vergütung kann nach Ablauf von jeweils drei Monaten für diesen Zeitraum geltend gemacht werden. Dies gilt nicht für die Geltendmachung von Vergütung und Aufwendungsersatz in den Fällen des § 6.</w:t>
      </w:r>
    </w:p>
    <w:p>
      <w:r>
        <w:rPr>
          <w:color w:val="555555"/>
          <w:sz w:val="17"/>
        </w:rPr>
        <w:t xml:space="preserve">Zitiervorschlag: § 9 VBVG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https://recht.nulegal.eu/gesetze/vbvg--2005/9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