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VBVG — Sonderfälle der Betreuung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Historische Fassung: Stand 01.08.2019 bis 01.01.2023. Dies ist nicht die aktuelle Fassung.</w:t>
      </w:r>
    </w:p>
    <w:p>
      <w:r>
        <w:t xml:space="preserve">In den Fällen des § 1899 Abs. 2 und 4 des Bürgerlichen Gesetzbuchs erhält der Betreuer eine Vergütung nach § 1 Abs. 2 in Verbindung mit § 3; für seine Aufwendungen kann er Vorschuss und Ersatz nach § 1835 des Bürgerlichen Gesetzbuchs mit Ausnahme der Aufwendungen im Sinne von § 1835 Abs. 2 des Bürgerlichen Gesetzbuchs beanspruchen. Ist im Fall des § 1899 Absatz 4 des Bürgerlichen Gesetzbuchs die Verhinderung tatsächlicher Art, sind die Vergütung und der Aufwendungsersatz nach § 4 in Verbindung mit § 5 sowie die Pauschale nach § 5a Absatz 1 zu bewilligen und im Fall des § 5 nach Tagen zu teilen; § 187 Absatz 1 und § 188 Absatz 1 des Bürgerlichen Gesetzbuchs gelten entsprechend.</w:t>
      </w:r>
    </w:p>
    <w:p>
      <w:r>
        <w:rPr>
          <w:color w:val="555555"/>
          <w:sz w:val="17"/>
        </w:rPr>
        <w:t xml:space="preserve">Zitiervorschlag: § 6 VBVG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https://recht.nulegal.eu/gesetze/vbvg--2005/6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