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VBVG — Vergütung des Betreuers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Historische Fassung: Stand 01.08.2019 bis 01.01.2023. Dies ist nicht die aktuelle Fassung.</w:t>
      </w:r>
    </w:p>
    <w:p>
      <w:r>
        <w:t xml:space="preserve">(1) Die dem Betreuer nach § 1 Absatz 2 zu bewilligende Vergütung bestimmt sich nach monatlichen Fallpauschalen, die in den Vergütungstabellen A bis C der Anlage festgelegt sind.</w:t>
      </w:r>
    </w:p>
    <w:p>
      <w:r>
        <w:t xml:space="preserve">(2) Die Vergütung des Betreuers richtet sich nach Vergütungstabelle A, sofern der Betreuer über keine besonderen Kenntnisse verfügt, die für die Führung der Betreuung nutzbar sind.</w:t>
      </w:r>
    </w:p>
    <w:p>
      <w:r>
        <w:t xml:space="preserve">(3) Verfügt der Betreuer über besondere Kenntnisse, die für die Führung der Betreuung nutzbar sind, so richtet sich die Vergütung</w:t>
      </w:r>
    </w:p>
    <w:p>
      <w:pPr>
        <w:ind w:left="420"/>
      </w:pPr>
      <w:r>
        <w:t xml:space="preserve">1. nach Vergütungstabelle B, wenn diese Kenntnisse durch eine abgeschlossene Lehre oder eine vergleichbare abgeschlossene Ausbildung erworben sind;</w:t>
      </w:r>
    </w:p>
    <w:p>
      <w:pPr>
        <w:ind w:left="420"/>
      </w:pPr>
      <w:r>
        <w:t xml:space="preserve">2. nach Vergütungstabelle C, wenn diese Kenntnisse durch eine abgeschlossene Ausbildung an einer Hochschule oder durch eine vergleichbare abgeschlossene Ausbildung erworben sind.</w:t>
      </w:r>
    </w:p>
    <w:p>
      <w:r>
        <w:t xml:space="preserve">(4) § 3 Absatz 2 gilt entsprechend. § 1 Absatz 1 Satz 2 Nummer 2 findet keine Anwendung.</w:t>
      </w:r>
    </w:p>
    <w:p>
      <w:r>
        <w:rPr>
          <w:color w:val="555555"/>
          <w:sz w:val="17"/>
        </w:rPr>
        <w:t xml:space="preserve">Zitiervorschlag: § 4 VBVG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https://recht.nulegal.eu/gesetze/vbvg--2005/4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