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VBVG — Übergangsregelungen</w:t>
      </w:r>
    </w:p>
    <w:p>
      <w:r>
        <w:rPr>
          <w:color w:val="555555"/>
          <w:sz w:val="18"/>
        </w:rPr>
        <w:t xml:space="preserve">Vormünder- und Betreuervergütungsgesetz</w:t>
      </w:r>
    </w:p>
    <w:p>
      <w:r>
        <w:rPr>
          <w:color w:val="555555"/>
          <w:sz w:val="18"/>
        </w:rPr>
        <w:t xml:space="preserve">Historische Fassung: Stand 01.08.2019 bis 01.01.2023. Dies ist nicht die aktuelle Fassung.</w:t>
      </w:r>
    </w:p>
    <w:p>
      <w:r>
        <w:t xml:space="preserve">Auf Vergütungsansprüche von Betreuern, Vormündern, Pflegern und Verfahrenspflegern für Leistungen, die vor dem 27. Juli 2019 erbracht wurden, ist dieses Gesetz bis zum Ende des angefangenen Betreuungsmonats in seiner bis dahin geltenden Fassung anzuwenden.</w:t>
      </w:r>
    </w:p>
    <w:p>
      <w:r>
        <w:rPr>
          <w:color w:val="555555"/>
          <w:sz w:val="17"/>
        </w:rPr>
        <w:t xml:space="preserve">Zitiervorschlag: § 12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