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VBVG — Umschulung und Fortbildung von Berufsvormündern</w:t>
      </w:r>
    </w:p>
    <w:p>
      <w:r>
        <w:rPr>
          <w:color w:val="555555"/>
          <w:sz w:val="18"/>
        </w:rPr>
        <w:t xml:space="preserve">Vormünder- und Betreuervergütungsgesetz</w:t>
      </w:r>
    </w:p>
    <w:p>
      <w:r>
        <w:rPr>
          <w:color w:val="555555"/>
          <w:sz w:val="18"/>
        </w:rPr>
        <w:t xml:space="preserve">Historische Fassung: Stand 01.08.2019 bis 01.01.2023. Dies ist nicht die aktuelle Fassung.</w:t>
      </w:r>
    </w:p>
    <w:p>
      <w:r>
        <w:t xml:space="preserve">(1) Durch Landesrecht kann bestimmt werden, dass es einer abgeschlossenen Lehre im Sinne des § 3 Abs. 1 Satz 2 Nr. 1 und § 4 Absatz 3 Nummer 1 gleichsteht, wenn der Vormund oder Betreuer besondere Kenntnisse im Sinne dieser Vorschrift durch eine dem Abschluss einer Lehre vergleichbare Prüfung vor einer staatlichen oder staatlich anerkannten Stelle nachgewiesen hat. Zu einer solchen Prüfung darf nur zugelassen werden, wer</w:t>
      </w:r>
    </w:p>
    <w:p>
      <w:pPr>
        <w:ind w:left="420"/>
      </w:pPr>
      <w:r>
        <w:t xml:space="preserve">1. mindestens drei Jahre lang Vormundschaften oder Betreuungen berufsmäßig geführt und</w:t>
      </w:r>
    </w:p>
    <w:p>
      <w:pPr>
        <w:ind w:left="420"/>
      </w:pPr>
      <w:r>
        <w:t xml:space="preserve">2. an einer Umschulung oder Fortbildung teilgenommen hat, die besondere Kenntnisse im Sinne des § 3 Abs. 1 Satz 2 und § 4 Absatz 3 vermittelt, welche nach Art und Umfang den durch eine abgeschlossene Lehre vermittelten vergleichbar sind.</w:t>
      </w:r>
    </w:p>
    <w:p>
      <w:r>
        <w:t xml:space="preserve">(2) Durch Landesrecht kann bestimmt werden, dass es einer abgeschlossenen Ausbildung an einer Hochschule im Sinne des § 3 Abs. 1 Satz 2 Nr. 2 und § 4 Absatz 3 Nummer 2 gleichsteht, wenn der Vormund oder Betreuer Kenntnisse im Sinne dieser Vorschrift durch eine Prüfung vor einer staatlichen oder staatlich anerkannten Stelle nachgewiesen hat. Zu einer solchen Prüfung darf nur zugelassen werden, wer</w:t>
      </w:r>
    </w:p>
    <w:p>
      <w:pPr>
        <w:ind w:left="420"/>
      </w:pPr>
      <w:r>
        <w:t xml:space="preserve">1. mindestens fünf Jahre lang Vormundschaften oder Betreuungen berufsmäßig geführt und</w:t>
      </w:r>
    </w:p>
    <w:p>
      <w:pPr>
        <w:ind w:left="420"/>
      </w:pPr>
      <w:r>
        <w:t xml:space="preserve">2. an einer Umschulung oder Fortbildung teilgenommen hat, die besondere Kenntnisse im Sinne des § 3 Abs. 1 Satz 2 und § 4 Absatz 3 vermittelt, welche nach Art und Umfang den durch eine abgeschlossene Ausbildung an einer Hochschule vermittelten vergleichbar sind.</w:t>
      </w:r>
    </w:p>
    <w:p>
      <w:r>
        <w:t xml:space="preserve">(3) Das Landesrecht kann weitergehende Zulassungsvoraussetzungen aufstellen. Es regelt das Nähere über die an eine Umschulung oder Fortbildung im Sinne des Absatzes 1 Satz 2 Nr. 2, Absatzes 2 Satz 2 Nr. 2 zu stellenden Anforderungen, über Art und Umfang der zu erbringenden Prüfungsleistungen, über das Prüfungsverfahren und über die Zuständigkeiten. Das Landesrecht kann auch bestimmen, dass eine in einem anderen Land abgelegte Prüfung im Sinne dieser Vorschrift anerkannt wird.</w:t>
      </w:r>
    </w:p>
    <w:p>
      <w:r>
        <w:rPr>
          <w:color w:val="555555"/>
          <w:sz w:val="17"/>
        </w:rPr>
        <w:t xml:space="preserve">Zitiervorschlag: § 11 VBVG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https://recht.nulegal.eu/gesetze/vbvg--2005/11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