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UVAV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01.10.2023 bis 01.01.2024. Dies ist nicht die aktuelle Fassung.</w:t>
      </w:r>
    </w:p>
    <w:p>
      <w:r>
        <w:t xml:space="preserve">(Fundstelle: BGBl. I 2016, 3098)</w:t>
      </w:r>
    </w:p>
    <w:p>
      <w:r>
        <w:rPr>
          <w:color w:val="555555"/>
          <w:sz w:val="17"/>
        </w:rPr>
        <w:t xml:space="preserve">Zitiervorschlag: Anlage 1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