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UVAV — Inkrafttreten, Außerkrafttreten</w:t>
      </w:r>
    </w:p>
    <w:p>
      <w:r>
        <w:rPr>
          <w:color w:val="555555"/>
          <w:sz w:val="18"/>
        </w:rPr>
        <w:t xml:space="preserve">Unfallversicherungs-Anzeigeverordnung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(1) Diese Verordnung tritt am 1. August 2002 in Kraft.</w:t>
      </w:r>
    </w:p>
    <w:p>
      <w:r>
        <w:t xml:space="preserve">(2) (Aufhebungsvorschriften)</w:t>
      </w:r>
    </w:p>
    <w:p>
      <w:r>
        <w:rPr>
          <w:color w:val="555555"/>
          <w:sz w:val="17"/>
        </w:rPr>
        <w:t xml:space="preserve">Zitiervorschlag: § 6 UVAV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https://recht.nulegal.eu/gesetze/uvav--2002/6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